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2B4F" w:rsidRDefault="00872B4F"/>
    <w:p w:rsidR="00872B4F" w:rsidRPr="004E0542" w:rsidRDefault="00872B4F" w:rsidP="00872B4F">
      <w:pPr>
        <w:pStyle w:val="ListParagraph"/>
        <w:spacing w:after="0" w:line="240" w:lineRule="auto"/>
        <w:ind w:left="0"/>
        <w:rPr>
          <w:rFonts w:cs="Calibri"/>
          <w:sz w:val="24"/>
          <w:szCs w:val="24"/>
        </w:rPr>
      </w:pPr>
      <w:r w:rsidRPr="004E0542">
        <w:rPr>
          <w:rFonts w:cs="Calibri"/>
          <w:b/>
          <w:sz w:val="24"/>
          <w:szCs w:val="24"/>
        </w:rPr>
        <w:t xml:space="preserve">Request for </w:t>
      </w:r>
      <w:r>
        <w:rPr>
          <w:rFonts w:cs="Calibri"/>
          <w:b/>
          <w:sz w:val="24"/>
          <w:szCs w:val="24"/>
        </w:rPr>
        <w:t>Frimley</w:t>
      </w:r>
      <w:r w:rsidRPr="004E0542">
        <w:rPr>
          <w:rFonts w:cs="Calibri"/>
          <w:b/>
          <w:sz w:val="24"/>
          <w:szCs w:val="24"/>
        </w:rPr>
        <w:t xml:space="preserve"> GP Bulletin article</w:t>
      </w:r>
    </w:p>
    <w:p w:rsidR="00872B4F" w:rsidRPr="004E0542" w:rsidRDefault="00872B4F" w:rsidP="00872B4F">
      <w:pPr>
        <w:pStyle w:val="NoSpacing"/>
        <w:jc w:val="both"/>
        <w:rPr>
          <w:rFonts w:cs="Calibri"/>
          <w:sz w:val="24"/>
          <w:szCs w:val="24"/>
        </w:rPr>
      </w:pPr>
    </w:p>
    <w:p w:rsidR="00872B4F" w:rsidRPr="00872B4F" w:rsidRDefault="00872B4F" w:rsidP="00872B4F">
      <w:r>
        <w:rPr>
          <w:rFonts w:cs="Calibri"/>
          <w:sz w:val="24"/>
          <w:szCs w:val="24"/>
        </w:rPr>
        <w:t xml:space="preserve">To be emailed to </w:t>
      </w:r>
      <w:hyperlink r:id="rId4" w:history="1">
        <w:r>
          <w:rPr>
            <w:rStyle w:val="Hyperlink"/>
          </w:rPr>
          <w:t>frimleyicb.collaborative.communications@nhs.net</w:t>
        </w:r>
      </w:hyperlink>
    </w:p>
    <w:tbl>
      <w:tblPr>
        <w:tblpPr w:leftFromText="180" w:rightFromText="180" w:vertAnchor="page" w:horzAnchor="margin" w:tblpY="3976"/>
        <w:tblW w:w="90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8"/>
        <w:gridCol w:w="1276"/>
        <w:gridCol w:w="365"/>
        <w:gridCol w:w="1642"/>
        <w:gridCol w:w="1642"/>
        <w:gridCol w:w="1630"/>
        <w:gridCol w:w="12"/>
      </w:tblGrid>
      <w:tr w:rsidR="00872B4F" w:rsidRPr="004E0542" w:rsidTr="00C46428">
        <w:trPr>
          <w:gridAfter w:val="1"/>
          <w:wAfter w:w="12" w:type="dxa"/>
          <w:trHeight w:hRule="exact" w:val="397"/>
        </w:trPr>
        <w:tc>
          <w:tcPr>
            <w:tcW w:w="2518" w:type="dxa"/>
            <w:vMerge w:val="restart"/>
            <w:shd w:val="clear" w:color="auto" w:fill="E2EFD9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4"/>
                <w:szCs w:val="24"/>
              </w:rPr>
            </w:pPr>
            <w:r w:rsidRPr="004E0542">
              <w:rPr>
                <w:rFonts w:cs="Calibri"/>
                <w:b/>
                <w:sz w:val="24"/>
                <w:szCs w:val="24"/>
              </w:rPr>
              <w:t xml:space="preserve">Submitted by </w:t>
            </w:r>
          </w:p>
        </w:tc>
        <w:tc>
          <w:tcPr>
            <w:tcW w:w="1276" w:type="dxa"/>
            <w:shd w:val="clear" w:color="auto" w:fill="F2F2F2"/>
          </w:tcPr>
          <w:p w:rsidR="00872B4F" w:rsidRPr="00F43B91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Cs/>
                <w:i/>
                <w:sz w:val="24"/>
                <w:szCs w:val="24"/>
              </w:rPr>
            </w:pPr>
            <w:r w:rsidRPr="00F43B91">
              <w:rPr>
                <w:rFonts w:cs="Calibri"/>
                <w:bCs/>
                <w:i/>
                <w:sz w:val="24"/>
                <w:szCs w:val="24"/>
              </w:rPr>
              <w:t>Name</w:t>
            </w:r>
          </w:p>
        </w:tc>
        <w:tc>
          <w:tcPr>
            <w:tcW w:w="5279" w:type="dxa"/>
            <w:gridSpan w:val="4"/>
            <w:shd w:val="clear" w:color="auto" w:fill="auto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Stephanie Peters</w:t>
            </w:r>
          </w:p>
        </w:tc>
      </w:tr>
      <w:tr w:rsidR="00872B4F" w:rsidRPr="004E0542" w:rsidTr="00C46428">
        <w:trPr>
          <w:gridAfter w:val="1"/>
          <w:wAfter w:w="12" w:type="dxa"/>
          <w:trHeight w:hRule="exact" w:val="397"/>
        </w:trPr>
        <w:tc>
          <w:tcPr>
            <w:tcW w:w="2518" w:type="dxa"/>
            <w:vMerge/>
            <w:shd w:val="clear" w:color="auto" w:fill="E2EFD9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F2F2F2"/>
          </w:tcPr>
          <w:p w:rsidR="00872B4F" w:rsidRPr="00F43B91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Cs/>
                <w:i/>
                <w:sz w:val="24"/>
                <w:szCs w:val="24"/>
              </w:rPr>
            </w:pPr>
            <w:r w:rsidRPr="00F43B91">
              <w:rPr>
                <w:rFonts w:cs="Calibri"/>
                <w:bCs/>
                <w:i/>
                <w:sz w:val="24"/>
                <w:szCs w:val="24"/>
              </w:rPr>
              <w:t>Job Title</w:t>
            </w:r>
          </w:p>
        </w:tc>
        <w:tc>
          <w:tcPr>
            <w:tcW w:w="5279" w:type="dxa"/>
            <w:gridSpan w:val="4"/>
            <w:shd w:val="clear" w:color="auto" w:fill="auto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Head of Marketing and Communications</w:t>
            </w:r>
          </w:p>
        </w:tc>
      </w:tr>
      <w:tr w:rsidR="00872B4F" w:rsidRPr="004E0542" w:rsidTr="00C46428">
        <w:trPr>
          <w:gridAfter w:val="1"/>
          <w:wAfter w:w="12" w:type="dxa"/>
          <w:trHeight w:hRule="exact" w:val="397"/>
        </w:trPr>
        <w:tc>
          <w:tcPr>
            <w:tcW w:w="2518" w:type="dxa"/>
            <w:vMerge/>
            <w:shd w:val="clear" w:color="auto" w:fill="E2EFD9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F2F2F2"/>
          </w:tcPr>
          <w:p w:rsidR="00872B4F" w:rsidRPr="00F43B91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Cs/>
                <w:i/>
                <w:sz w:val="24"/>
                <w:szCs w:val="24"/>
              </w:rPr>
            </w:pPr>
            <w:r w:rsidRPr="00F43B91">
              <w:rPr>
                <w:rFonts w:cs="Calibri"/>
                <w:bCs/>
                <w:i/>
                <w:sz w:val="24"/>
                <w:szCs w:val="24"/>
              </w:rPr>
              <w:t>E-mail</w:t>
            </w:r>
          </w:p>
        </w:tc>
        <w:tc>
          <w:tcPr>
            <w:tcW w:w="5279" w:type="dxa"/>
            <w:gridSpan w:val="4"/>
            <w:shd w:val="clear" w:color="auto" w:fill="auto"/>
          </w:tcPr>
          <w:p w:rsidR="00872B4F" w:rsidRPr="004E0542" w:rsidRDefault="00872B4F" w:rsidP="00C46428">
            <w:pPr>
              <w:spacing w:after="0"/>
              <w:rPr>
                <w:rFonts w:cs="Calibri"/>
                <w:sz w:val="24"/>
                <w:szCs w:val="24"/>
              </w:rPr>
            </w:pPr>
            <w:hyperlink r:id="rId5" w:history="1">
              <w:r w:rsidRPr="006E1144">
                <w:rPr>
                  <w:rStyle w:val="Hyperlink"/>
                  <w:rFonts w:cs="Calibri"/>
                  <w:sz w:val="24"/>
                  <w:szCs w:val="24"/>
                </w:rPr>
                <w:t>stephanie.peters@thameshospice.org.uk</w:t>
              </w:r>
            </w:hyperlink>
          </w:p>
        </w:tc>
      </w:tr>
      <w:tr w:rsidR="00872B4F" w:rsidRPr="004E0542" w:rsidTr="00C46428">
        <w:trPr>
          <w:gridAfter w:val="1"/>
          <w:wAfter w:w="12" w:type="dxa"/>
          <w:trHeight w:hRule="exact" w:val="397"/>
        </w:trPr>
        <w:tc>
          <w:tcPr>
            <w:tcW w:w="2518" w:type="dxa"/>
            <w:vMerge/>
            <w:shd w:val="clear" w:color="auto" w:fill="E2EFD9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F2F2F2"/>
          </w:tcPr>
          <w:p w:rsidR="00872B4F" w:rsidRPr="00F43B91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Cs/>
                <w:i/>
                <w:sz w:val="24"/>
                <w:szCs w:val="24"/>
              </w:rPr>
            </w:pPr>
            <w:r w:rsidRPr="00F43B91">
              <w:rPr>
                <w:rFonts w:cs="Calibri"/>
                <w:bCs/>
                <w:i/>
                <w:sz w:val="24"/>
                <w:szCs w:val="24"/>
              </w:rPr>
              <w:t>Phone</w:t>
            </w:r>
          </w:p>
        </w:tc>
        <w:tc>
          <w:tcPr>
            <w:tcW w:w="5279" w:type="dxa"/>
            <w:gridSpan w:val="4"/>
            <w:shd w:val="clear" w:color="auto" w:fill="auto"/>
          </w:tcPr>
          <w:p w:rsidR="00872B4F" w:rsidRPr="004E0542" w:rsidRDefault="00872B4F" w:rsidP="00C46428">
            <w:pPr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01753 848966</w:t>
            </w:r>
          </w:p>
        </w:tc>
      </w:tr>
      <w:tr w:rsidR="00872B4F" w:rsidRPr="004E0542" w:rsidTr="00C46428">
        <w:trPr>
          <w:gridAfter w:val="1"/>
          <w:wAfter w:w="12" w:type="dxa"/>
          <w:trHeight w:hRule="exact" w:val="397"/>
        </w:trPr>
        <w:tc>
          <w:tcPr>
            <w:tcW w:w="2518" w:type="dxa"/>
            <w:vMerge w:val="restart"/>
            <w:shd w:val="clear" w:color="auto" w:fill="E2EFD9"/>
          </w:tcPr>
          <w:p w:rsidR="00872B4F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Cs/>
                <w:sz w:val="24"/>
                <w:szCs w:val="24"/>
              </w:rPr>
            </w:pPr>
            <w:r w:rsidRPr="004E0542">
              <w:rPr>
                <w:rFonts w:cs="Calibri"/>
                <w:b/>
                <w:sz w:val="24"/>
                <w:szCs w:val="24"/>
              </w:rPr>
              <w:t>Contact for queries</w:t>
            </w:r>
            <w:r w:rsidRPr="004E0542">
              <w:rPr>
                <w:rFonts w:cs="Calibri"/>
                <w:bCs/>
                <w:sz w:val="24"/>
                <w:szCs w:val="24"/>
              </w:rPr>
              <w:t xml:space="preserve"> </w:t>
            </w:r>
          </w:p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4"/>
                <w:szCs w:val="24"/>
              </w:rPr>
            </w:pPr>
            <w:r>
              <w:rPr>
                <w:rFonts w:cs="Calibri"/>
                <w:bCs/>
                <w:sz w:val="24"/>
                <w:szCs w:val="24"/>
              </w:rPr>
              <w:t>T</w:t>
            </w:r>
            <w:r w:rsidRPr="004E0542">
              <w:rPr>
                <w:rFonts w:cs="Calibri"/>
                <w:bCs/>
                <w:sz w:val="24"/>
                <w:szCs w:val="24"/>
              </w:rPr>
              <w:t>o be included in article</w:t>
            </w:r>
          </w:p>
        </w:tc>
        <w:tc>
          <w:tcPr>
            <w:tcW w:w="1276" w:type="dxa"/>
            <w:shd w:val="clear" w:color="auto" w:fill="F2F2F2"/>
          </w:tcPr>
          <w:p w:rsidR="00872B4F" w:rsidRPr="00F43B91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Cs/>
                <w:i/>
                <w:sz w:val="24"/>
                <w:szCs w:val="24"/>
              </w:rPr>
            </w:pPr>
            <w:r w:rsidRPr="00F43B91">
              <w:rPr>
                <w:rFonts w:cs="Calibri"/>
                <w:bCs/>
                <w:i/>
                <w:sz w:val="24"/>
                <w:szCs w:val="24"/>
              </w:rPr>
              <w:t>Name</w:t>
            </w:r>
          </w:p>
        </w:tc>
        <w:tc>
          <w:tcPr>
            <w:tcW w:w="5279" w:type="dxa"/>
            <w:gridSpan w:val="4"/>
            <w:shd w:val="clear" w:color="auto" w:fill="auto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Dawn Graham</w:t>
            </w:r>
          </w:p>
        </w:tc>
      </w:tr>
      <w:tr w:rsidR="00872B4F" w:rsidRPr="004E0542" w:rsidTr="00C46428">
        <w:trPr>
          <w:gridAfter w:val="1"/>
          <w:wAfter w:w="12" w:type="dxa"/>
          <w:trHeight w:hRule="exact" w:val="397"/>
        </w:trPr>
        <w:tc>
          <w:tcPr>
            <w:tcW w:w="2518" w:type="dxa"/>
            <w:vMerge/>
            <w:shd w:val="clear" w:color="auto" w:fill="E2EFD9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F2F2F2"/>
          </w:tcPr>
          <w:p w:rsidR="00872B4F" w:rsidRPr="00F43B91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Cs/>
                <w:i/>
                <w:sz w:val="24"/>
                <w:szCs w:val="24"/>
              </w:rPr>
            </w:pPr>
            <w:r w:rsidRPr="00F43B91">
              <w:rPr>
                <w:rFonts w:cs="Calibri"/>
                <w:bCs/>
                <w:i/>
                <w:sz w:val="24"/>
                <w:szCs w:val="24"/>
              </w:rPr>
              <w:t>Job Title</w:t>
            </w:r>
          </w:p>
        </w:tc>
        <w:tc>
          <w:tcPr>
            <w:tcW w:w="5279" w:type="dxa"/>
            <w:gridSpan w:val="4"/>
            <w:shd w:val="clear" w:color="auto" w:fill="auto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Assistant Administrator</w:t>
            </w:r>
          </w:p>
        </w:tc>
      </w:tr>
      <w:tr w:rsidR="00872B4F" w:rsidRPr="004E0542" w:rsidTr="00C46428">
        <w:trPr>
          <w:gridAfter w:val="1"/>
          <w:wAfter w:w="12" w:type="dxa"/>
          <w:trHeight w:hRule="exact" w:val="397"/>
        </w:trPr>
        <w:tc>
          <w:tcPr>
            <w:tcW w:w="2518" w:type="dxa"/>
            <w:vMerge/>
            <w:shd w:val="clear" w:color="auto" w:fill="E2EFD9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F2F2F2"/>
          </w:tcPr>
          <w:p w:rsidR="00872B4F" w:rsidRPr="00F43B91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Cs/>
                <w:i/>
                <w:sz w:val="24"/>
                <w:szCs w:val="24"/>
              </w:rPr>
            </w:pPr>
            <w:r w:rsidRPr="00F43B91">
              <w:rPr>
                <w:rFonts w:cs="Calibri"/>
                <w:bCs/>
                <w:i/>
                <w:sz w:val="24"/>
                <w:szCs w:val="24"/>
              </w:rPr>
              <w:t>E-mail</w:t>
            </w:r>
          </w:p>
        </w:tc>
        <w:tc>
          <w:tcPr>
            <w:tcW w:w="5279" w:type="dxa"/>
            <w:gridSpan w:val="4"/>
            <w:shd w:val="clear" w:color="auto" w:fill="auto"/>
          </w:tcPr>
          <w:p w:rsidR="00872B4F" w:rsidRPr="004E0542" w:rsidRDefault="00872B4F" w:rsidP="00C46428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thames.hospice@nhs.net</w:t>
            </w:r>
          </w:p>
        </w:tc>
      </w:tr>
      <w:tr w:rsidR="00872B4F" w:rsidRPr="004E0542" w:rsidTr="00C46428">
        <w:trPr>
          <w:gridAfter w:val="1"/>
          <w:wAfter w:w="12" w:type="dxa"/>
          <w:trHeight w:hRule="exact" w:val="397"/>
        </w:trPr>
        <w:tc>
          <w:tcPr>
            <w:tcW w:w="2518" w:type="dxa"/>
            <w:vMerge/>
            <w:shd w:val="clear" w:color="auto" w:fill="E2EFD9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F2F2F2"/>
          </w:tcPr>
          <w:p w:rsidR="00872B4F" w:rsidRPr="00F43B91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Cs/>
                <w:i/>
                <w:sz w:val="24"/>
                <w:szCs w:val="24"/>
              </w:rPr>
            </w:pPr>
            <w:r w:rsidRPr="00F43B91">
              <w:rPr>
                <w:rFonts w:cs="Calibri"/>
                <w:bCs/>
                <w:i/>
                <w:sz w:val="24"/>
                <w:szCs w:val="24"/>
              </w:rPr>
              <w:t>Phone</w:t>
            </w:r>
          </w:p>
        </w:tc>
        <w:tc>
          <w:tcPr>
            <w:tcW w:w="5279" w:type="dxa"/>
            <w:gridSpan w:val="4"/>
            <w:shd w:val="clear" w:color="auto" w:fill="auto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01753 848925</w:t>
            </w:r>
          </w:p>
        </w:tc>
      </w:tr>
      <w:tr w:rsidR="00872B4F" w:rsidRPr="004E0542" w:rsidTr="00C46428">
        <w:trPr>
          <w:trHeight w:hRule="exact" w:val="397"/>
        </w:trPr>
        <w:tc>
          <w:tcPr>
            <w:tcW w:w="2518" w:type="dxa"/>
            <w:vMerge w:val="restart"/>
            <w:shd w:val="clear" w:color="auto" w:fill="E2EFD9"/>
          </w:tcPr>
          <w:p w:rsidR="00872B4F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4"/>
                <w:szCs w:val="24"/>
              </w:rPr>
            </w:pPr>
            <w:proofErr w:type="gramStart"/>
            <w:r>
              <w:rPr>
                <w:rFonts w:cs="Calibri"/>
                <w:b/>
                <w:sz w:val="24"/>
                <w:szCs w:val="24"/>
              </w:rPr>
              <w:t>Who</w:t>
            </w:r>
            <w:proofErr w:type="gramEnd"/>
            <w:r>
              <w:rPr>
                <w:rFonts w:cs="Calibri"/>
                <w:b/>
                <w:sz w:val="24"/>
                <w:szCs w:val="24"/>
              </w:rPr>
              <w:t xml:space="preserve"> is this for? </w:t>
            </w:r>
          </w:p>
          <w:p w:rsidR="00872B4F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4"/>
                <w:szCs w:val="24"/>
              </w:rPr>
            </w:pPr>
            <w:r>
              <w:rPr>
                <w:rFonts w:cs="Calibri"/>
                <w:bCs/>
                <w:i/>
                <w:iCs/>
                <w:sz w:val="24"/>
                <w:szCs w:val="24"/>
              </w:rPr>
              <w:t>P</w:t>
            </w:r>
            <w:r w:rsidRPr="00ED08B5">
              <w:rPr>
                <w:rFonts w:cs="Calibri"/>
                <w:bCs/>
                <w:i/>
                <w:iCs/>
                <w:sz w:val="24"/>
                <w:szCs w:val="24"/>
              </w:rPr>
              <w:t>lease tick</w:t>
            </w:r>
          </w:p>
        </w:tc>
        <w:tc>
          <w:tcPr>
            <w:tcW w:w="1641" w:type="dxa"/>
            <w:gridSpan w:val="2"/>
            <w:shd w:val="clear" w:color="auto" w:fill="F2F2F2"/>
          </w:tcPr>
          <w:p w:rsidR="00872B4F" w:rsidRPr="00F43B91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i/>
                <w:iCs/>
                <w:sz w:val="24"/>
                <w:szCs w:val="24"/>
              </w:rPr>
            </w:pPr>
            <w:r>
              <w:rPr>
                <w:rFonts w:cs="Calibri"/>
                <w:i/>
                <w:iCs/>
                <w:sz w:val="24"/>
                <w:szCs w:val="24"/>
              </w:rPr>
              <w:t>East Berkshire</w:t>
            </w:r>
          </w:p>
        </w:tc>
        <w:tc>
          <w:tcPr>
            <w:tcW w:w="1642" w:type="dxa"/>
            <w:shd w:val="clear" w:color="auto" w:fill="F2F2F2"/>
          </w:tcPr>
          <w:p w:rsidR="00872B4F" w:rsidRPr="00F43B91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i/>
                <w:iCs/>
                <w:sz w:val="24"/>
                <w:szCs w:val="24"/>
              </w:rPr>
            </w:pPr>
          </w:p>
        </w:tc>
        <w:tc>
          <w:tcPr>
            <w:tcW w:w="1642" w:type="dxa"/>
            <w:shd w:val="clear" w:color="auto" w:fill="F2F2F2"/>
          </w:tcPr>
          <w:p w:rsidR="00872B4F" w:rsidRPr="00F43B91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i/>
                <w:iCs/>
                <w:sz w:val="24"/>
                <w:szCs w:val="24"/>
              </w:rPr>
            </w:pPr>
          </w:p>
        </w:tc>
        <w:tc>
          <w:tcPr>
            <w:tcW w:w="1642" w:type="dxa"/>
            <w:gridSpan w:val="2"/>
            <w:shd w:val="clear" w:color="auto" w:fill="F2F2F2"/>
          </w:tcPr>
          <w:p w:rsidR="00872B4F" w:rsidRPr="00F43B91" w:rsidRDefault="00872B4F" w:rsidP="00872B4F">
            <w:pPr>
              <w:pStyle w:val="ListParagraph"/>
              <w:spacing w:after="0" w:line="240" w:lineRule="auto"/>
              <w:ind w:left="0"/>
              <w:rPr>
                <w:rFonts w:cs="Calibri"/>
                <w:i/>
                <w:iCs/>
                <w:sz w:val="24"/>
                <w:szCs w:val="24"/>
              </w:rPr>
            </w:pPr>
          </w:p>
        </w:tc>
      </w:tr>
      <w:tr w:rsidR="00872B4F" w:rsidRPr="004E0542" w:rsidTr="00C46428">
        <w:trPr>
          <w:trHeight w:hRule="exact" w:val="397"/>
        </w:trPr>
        <w:tc>
          <w:tcPr>
            <w:tcW w:w="2518" w:type="dxa"/>
            <w:vMerge/>
            <w:shd w:val="clear" w:color="auto" w:fill="E2EFD9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shd w:val="clear" w:color="auto" w:fill="auto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jc w:val="center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sym w:font="Wingdings" w:char="F0FC"/>
            </w:r>
          </w:p>
        </w:tc>
        <w:tc>
          <w:tcPr>
            <w:tcW w:w="1642" w:type="dxa"/>
            <w:shd w:val="clear" w:color="auto" w:fill="auto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sz w:val="24"/>
                <w:szCs w:val="24"/>
              </w:rPr>
            </w:pPr>
          </w:p>
        </w:tc>
        <w:tc>
          <w:tcPr>
            <w:tcW w:w="1642" w:type="dxa"/>
            <w:shd w:val="clear" w:color="auto" w:fill="auto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sz w:val="24"/>
                <w:szCs w:val="24"/>
              </w:rPr>
            </w:pPr>
          </w:p>
        </w:tc>
        <w:tc>
          <w:tcPr>
            <w:tcW w:w="1642" w:type="dxa"/>
            <w:gridSpan w:val="2"/>
            <w:shd w:val="clear" w:color="auto" w:fill="auto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sz w:val="24"/>
                <w:szCs w:val="24"/>
              </w:rPr>
            </w:pPr>
          </w:p>
        </w:tc>
      </w:tr>
      <w:tr w:rsidR="00872B4F" w:rsidRPr="004E0542" w:rsidTr="00C46428">
        <w:trPr>
          <w:trHeight w:hRule="exact" w:val="397"/>
        </w:trPr>
        <w:tc>
          <w:tcPr>
            <w:tcW w:w="2518" w:type="dxa"/>
            <w:shd w:val="clear" w:color="auto" w:fill="E2EFD9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4"/>
                <w:szCs w:val="24"/>
              </w:rPr>
            </w:pPr>
            <w:r w:rsidRPr="004E0542">
              <w:rPr>
                <w:rFonts w:cs="Calibri"/>
                <w:b/>
                <w:sz w:val="24"/>
                <w:szCs w:val="24"/>
              </w:rPr>
              <w:t xml:space="preserve">Article title  </w:t>
            </w:r>
          </w:p>
        </w:tc>
        <w:tc>
          <w:tcPr>
            <w:tcW w:w="6567" w:type="dxa"/>
            <w:gridSpan w:val="6"/>
            <w:shd w:val="clear" w:color="auto" w:fill="auto"/>
          </w:tcPr>
          <w:p w:rsidR="00872B4F" w:rsidRPr="004E0542" w:rsidRDefault="00872B4F" w:rsidP="00C46428">
            <w:pPr>
              <w:rPr>
                <w:rFonts w:cs="Calibri"/>
                <w:b/>
                <w:sz w:val="24"/>
                <w:szCs w:val="24"/>
              </w:rPr>
            </w:pPr>
            <w:r>
              <w:rPr>
                <w:rFonts w:cs="Calibri"/>
                <w:b/>
                <w:sz w:val="24"/>
                <w:szCs w:val="24"/>
              </w:rPr>
              <w:t>Thames Hospice Co-Connect closes to new referrals</w:t>
            </w:r>
          </w:p>
        </w:tc>
      </w:tr>
      <w:tr w:rsidR="00872B4F" w:rsidRPr="004E0542" w:rsidTr="00C46428">
        <w:trPr>
          <w:trHeight w:val="1068"/>
        </w:trPr>
        <w:tc>
          <w:tcPr>
            <w:tcW w:w="2518" w:type="dxa"/>
            <w:vMerge w:val="restart"/>
            <w:shd w:val="clear" w:color="auto" w:fill="E2EFD9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4"/>
                <w:szCs w:val="24"/>
              </w:rPr>
            </w:pPr>
            <w:r w:rsidRPr="004E0542">
              <w:rPr>
                <w:rFonts w:cs="Calibri"/>
                <w:b/>
                <w:sz w:val="24"/>
                <w:szCs w:val="24"/>
              </w:rPr>
              <w:t>Article text</w:t>
            </w:r>
          </w:p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i/>
                <w:sz w:val="24"/>
                <w:szCs w:val="24"/>
              </w:rPr>
            </w:pPr>
            <w:r w:rsidRPr="004E0542">
              <w:rPr>
                <w:rFonts w:cs="Calibri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6567" w:type="dxa"/>
            <w:gridSpan w:val="6"/>
            <w:shd w:val="clear" w:color="auto" w:fill="auto"/>
          </w:tcPr>
          <w:p w:rsidR="00872B4F" w:rsidRPr="006C31AB" w:rsidRDefault="00872B4F" w:rsidP="00C46428">
            <w:pPr>
              <w:rPr>
                <w:rFonts w:ascii="Arial" w:hAnsi="Arial" w:cs="Arial"/>
                <w:color w:val="000000"/>
                <w:sz w:val="20"/>
              </w:rPr>
            </w:pPr>
            <w:r w:rsidRPr="006C31AB">
              <w:rPr>
                <w:rFonts w:ascii="Arial" w:hAnsi="Arial" w:cs="Arial"/>
                <w:sz w:val="20"/>
              </w:rPr>
              <w:t xml:space="preserve">At the beginning of 2022, Thames Hospice launched a bereavement counselling service called </w:t>
            </w:r>
            <w:r w:rsidRPr="006C31AB">
              <w:rPr>
                <w:rFonts w:ascii="Arial" w:hAnsi="Arial" w:cs="Arial"/>
                <w:color w:val="000000"/>
                <w:sz w:val="20"/>
              </w:rPr>
              <w:t xml:space="preserve">Thames Hospice Co-Connect to support people, aged 18 and over, whose bereavement </w:t>
            </w:r>
            <w:proofErr w:type="gramStart"/>
            <w:r w:rsidRPr="006C31AB">
              <w:rPr>
                <w:rFonts w:ascii="Arial" w:hAnsi="Arial" w:cs="Arial"/>
                <w:color w:val="000000"/>
                <w:sz w:val="20"/>
              </w:rPr>
              <w:t>was adversely impacted</w:t>
            </w:r>
            <w:proofErr w:type="gramEnd"/>
            <w:r w:rsidRPr="006C31AB">
              <w:rPr>
                <w:rFonts w:ascii="Arial" w:hAnsi="Arial" w:cs="Arial"/>
                <w:color w:val="000000"/>
                <w:sz w:val="20"/>
              </w:rPr>
              <w:t xml:space="preserve"> by the coronavirus pandemic. </w:t>
            </w:r>
            <w:r w:rsidRPr="006C31AB">
              <w:rPr>
                <w:rFonts w:ascii="Arial" w:hAnsi="Arial" w:cs="Arial"/>
                <w:color w:val="000000"/>
                <w:sz w:val="20"/>
              </w:rPr>
              <w:br/>
              <w:t xml:space="preserve">Co-Connect was made possible thanks to a generous grant secured from the National Lottery Community Fund, enabling the </w:t>
            </w:r>
            <w:r w:rsidRPr="006C31AB">
              <w:rPr>
                <w:rFonts w:ascii="Arial" w:hAnsi="Arial" w:cs="Arial"/>
                <w:sz w:val="20"/>
              </w:rPr>
              <w:t>Hospice to run this service for two years for people residing in Buckinghamshire</w:t>
            </w:r>
            <w:r>
              <w:rPr>
                <w:rFonts w:ascii="Arial" w:hAnsi="Arial" w:cs="Arial"/>
                <w:sz w:val="20"/>
              </w:rPr>
              <w:t xml:space="preserve"> and Berkshire</w:t>
            </w:r>
            <w:r w:rsidRPr="006C31AB">
              <w:rPr>
                <w:rFonts w:ascii="Arial" w:hAnsi="Arial" w:cs="Arial"/>
                <w:sz w:val="20"/>
              </w:rPr>
              <w:t>.</w:t>
            </w:r>
          </w:p>
          <w:p w:rsidR="00872B4F" w:rsidRPr="006C31AB" w:rsidRDefault="00872B4F" w:rsidP="00C46428">
            <w:pPr>
              <w:rPr>
                <w:rFonts w:ascii="Arial" w:hAnsi="Arial" w:cs="Arial"/>
                <w:sz w:val="20"/>
              </w:rPr>
            </w:pPr>
            <w:r w:rsidRPr="006C31AB">
              <w:rPr>
                <w:rFonts w:ascii="Arial" w:hAnsi="Arial" w:cs="Arial"/>
                <w:sz w:val="20"/>
              </w:rPr>
              <w:t xml:space="preserve">You may have referred patients to Co-Connect and this communications is to let you know that the Hospice is now closing Co-Connect to new referrals to ensure it can provide full counselling support to clients before the conclusion of this service in March 2024. </w:t>
            </w:r>
          </w:p>
          <w:p w:rsidR="00872B4F" w:rsidRPr="006C31AB" w:rsidRDefault="00872B4F" w:rsidP="00C46428">
            <w:pPr>
              <w:shd w:val="clear" w:color="auto" w:fill="FFFFFF"/>
              <w:jc w:val="both"/>
              <w:rPr>
                <w:rFonts w:ascii="Arial" w:hAnsi="Arial" w:cs="Arial"/>
                <w:sz w:val="20"/>
              </w:rPr>
            </w:pPr>
            <w:r w:rsidRPr="006C31AB">
              <w:rPr>
                <w:rFonts w:ascii="Arial" w:hAnsi="Arial" w:cs="Arial"/>
                <w:sz w:val="20"/>
              </w:rPr>
              <w:t>Co-Connect has enabled the Hospice’s Counselling Team to respond quickly and deliver therapeutic support towards improved mental health, wellbeing and resilience for more than 400 people across Berkshire</w:t>
            </w:r>
            <w:r>
              <w:rPr>
                <w:rFonts w:ascii="Arial" w:hAnsi="Arial" w:cs="Arial"/>
                <w:sz w:val="20"/>
              </w:rPr>
              <w:t xml:space="preserve"> and</w:t>
            </w:r>
            <w:r w:rsidRPr="006C31AB">
              <w:rPr>
                <w:rFonts w:ascii="Arial" w:hAnsi="Arial" w:cs="Arial"/>
                <w:sz w:val="20"/>
              </w:rPr>
              <w:t xml:space="preserve"> </w:t>
            </w:r>
            <w:r w:rsidRPr="006C31AB">
              <w:rPr>
                <w:rFonts w:ascii="Arial" w:hAnsi="Arial" w:cs="Arial"/>
                <w:sz w:val="20"/>
              </w:rPr>
              <w:t xml:space="preserve">Buckinghamshire. </w:t>
            </w:r>
            <w:r w:rsidRPr="006C31AB">
              <w:rPr>
                <w:rFonts w:ascii="Arial" w:eastAsia="Times New Roman" w:hAnsi="Arial" w:cs="Arial"/>
                <w:color w:val="000000"/>
                <w:sz w:val="20"/>
                <w:bdr w:val="none" w:sz="0" w:space="0" w:color="auto" w:frame="1"/>
                <w:lang w:eastAsia="en-GB"/>
              </w:rPr>
              <w:t>Thank you for helping us to reach those in our community who have been profoundly affected by the loss of a loved one in times like these.</w:t>
            </w:r>
          </w:p>
          <w:p w:rsidR="00872B4F" w:rsidRPr="006C31AB" w:rsidRDefault="00872B4F" w:rsidP="00C46428">
            <w:pPr>
              <w:rPr>
                <w:rFonts w:ascii="Arial" w:hAnsi="Arial" w:cs="Arial"/>
                <w:sz w:val="20"/>
              </w:rPr>
            </w:pPr>
            <w:r w:rsidRPr="006C31AB">
              <w:rPr>
                <w:rFonts w:ascii="Arial" w:hAnsi="Arial" w:cs="Arial"/>
                <w:sz w:val="20"/>
              </w:rPr>
              <w:t xml:space="preserve">Thames Hospice’s Counselling Team continues to provide emotional support for patients and families facing a life-limiting condition up to and following bereavement. To make a referral, please visit </w:t>
            </w:r>
            <w:hyperlink r:id="rId6" w:history="1">
              <w:r w:rsidRPr="006C31AB">
                <w:rPr>
                  <w:rStyle w:val="Hyperlink"/>
                  <w:rFonts w:ascii="Arial" w:hAnsi="Arial" w:cs="Arial"/>
                  <w:sz w:val="20"/>
                </w:rPr>
                <w:t>https://www.thameshospice.org.uk/make-a-referral</w:t>
              </w:r>
            </w:hyperlink>
            <w:r w:rsidRPr="006C31AB">
              <w:rPr>
                <w:rFonts w:ascii="Arial" w:hAnsi="Arial" w:cs="Arial"/>
                <w:sz w:val="20"/>
              </w:rPr>
              <w:t xml:space="preserve"> or call 01753 847300.</w:t>
            </w:r>
          </w:p>
          <w:p w:rsidR="00872B4F" w:rsidRPr="00872B4F" w:rsidRDefault="00872B4F" w:rsidP="00872B4F">
            <w:pPr>
              <w:rPr>
                <w:sz w:val="20"/>
              </w:rPr>
            </w:pPr>
            <w:r w:rsidRPr="006C31AB">
              <w:rPr>
                <w:rFonts w:ascii="Arial" w:hAnsi="Arial" w:cs="Arial"/>
                <w:b/>
                <w:sz w:val="20"/>
                <w:u w:val="single"/>
              </w:rPr>
              <w:t>Thames Hospice would be grateful if you could bring this to the attention of your clinical teams.</w:t>
            </w:r>
          </w:p>
        </w:tc>
      </w:tr>
      <w:tr w:rsidR="00872B4F" w:rsidRPr="004E0542" w:rsidTr="00C46428">
        <w:trPr>
          <w:trHeight w:val="696"/>
        </w:trPr>
        <w:tc>
          <w:tcPr>
            <w:tcW w:w="2518" w:type="dxa"/>
            <w:vMerge/>
            <w:shd w:val="clear" w:color="auto" w:fill="E2EFD9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4"/>
                <w:szCs w:val="24"/>
              </w:rPr>
            </w:pPr>
          </w:p>
        </w:tc>
        <w:tc>
          <w:tcPr>
            <w:tcW w:w="6567" w:type="dxa"/>
            <w:gridSpan w:val="6"/>
            <w:shd w:val="clear" w:color="auto" w:fill="auto"/>
          </w:tcPr>
          <w:p w:rsidR="00872B4F" w:rsidRPr="00F43B91" w:rsidRDefault="00872B4F" w:rsidP="00C46428">
            <w:pPr>
              <w:pStyle w:val="NoSpacing"/>
              <w:rPr>
                <w:rFonts w:cs="Calibri"/>
                <w:b/>
                <w:bCs/>
                <w:i/>
                <w:iCs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872B4F" w:rsidRPr="004E0542" w:rsidTr="00C46428">
        <w:trPr>
          <w:gridAfter w:val="1"/>
          <w:wAfter w:w="12" w:type="dxa"/>
          <w:trHeight w:hRule="exact" w:val="397"/>
        </w:trPr>
        <w:tc>
          <w:tcPr>
            <w:tcW w:w="2518" w:type="dxa"/>
            <w:vMerge w:val="restart"/>
            <w:shd w:val="clear" w:color="auto" w:fill="E2EFD9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4"/>
                <w:szCs w:val="24"/>
              </w:rPr>
            </w:pPr>
            <w:r w:rsidRPr="004E0542">
              <w:rPr>
                <w:rFonts w:cs="Calibri"/>
                <w:b/>
                <w:sz w:val="24"/>
                <w:szCs w:val="24"/>
              </w:rPr>
              <w:t>Who has signed this off for distribution to GP practices?</w:t>
            </w:r>
          </w:p>
        </w:tc>
        <w:tc>
          <w:tcPr>
            <w:tcW w:w="1276" w:type="dxa"/>
            <w:shd w:val="clear" w:color="auto" w:fill="F2F2F2"/>
          </w:tcPr>
          <w:p w:rsidR="00872B4F" w:rsidRPr="00F43B91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Cs/>
                <w:i/>
                <w:sz w:val="24"/>
                <w:szCs w:val="24"/>
              </w:rPr>
            </w:pPr>
            <w:r w:rsidRPr="00F43B91">
              <w:rPr>
                <w:rFonts w:cs="Calibri"/>
                <w:bCs/>
                <w:i/>
                <w:sz w:val="24"/>
                <w:szCs w:val="24"/>
              </w:rPr>
              <w:t>Name</w:t>
            </w:r>
          </w:p>
        </w:tc>
        <w:tc>
          <w:tcPr>
            <w:tcW w:w="5279" w:type="dxa"/>
            <w:gridSpan w:val="4"/>
            <w:shd w:val="clear" w:color="auto" w:fill="auto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sz w:val="24"/>
                <w:szCs w:val="24"/>
              </w:rPr>
            </w:pPr>
          </w:p>
        </w:tc>
      </w:tr>
      <w:tr w:rsidR="00872B4F" w:rsidRPr="004E0542" w:rsidTr="00C46428">
        <w:trPr>
          <w:gridAfter w:val="1"/>
          <w:wAfter w:w="12" w:type="dxa"/>
          <w:trHeight w:hRule="exact" w:val="397"/>
        </w:trPr>
        <w:tc>
          <w:tcPr>
            <w:tcW w:w="2518" w:type="dxa"/>
            <w:vMerge/>
            <w:shd w:val="clear" w:color="auto" w:fill="E2EFD9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F2F2F2"/>
          </w:tcPr>
          <w:p w:rsidR="00872B4F" w:rsidRPr="00F43B91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Cs/>
                <w:i/>
                <w:sz w:val="24"/>
                <w:szCs w:val="24"/>
              </w:rPr>
            </w:pPr>
            <w:r w:rsidRPr="00F43B91">
              <w:rPr>
                <w:rFonts w:cs="Calibri"/>
                <w:bCs/>
                <w:i/>
                <w:sz w:val="24"/>
                <w:szCs w:val="24"/>
              </w:rPr>
              <w:t>Role</w:t>
            </w:r>
          </w:p>
        </w:tc>
        <w:tc>
          <w:tcPr>
            <w:tcW w:w="5279" w:type="dxa"/>
            <w:gridSpan w:val="4"/>
            <w:shd w:val="clear" w:color="auto" w:fill="auto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sz w:val="24"/>
                <w:szCs w:val="24"/>
              </w:rPr>
            </w:pPr>
          </w:p>
        </w:tc>
      </w:tr>
      <w:tr w:rsidR="00872B4F" w:rsidRPr="004E0542" w:rsidTr="00C46428">
        <w:trPr>
          <w:gridAfter w:val="1"/>
          <w:wAfter w:w="12" w:type="dxa"/>
          <w:trHeight w:hRule="exact" w:val="397"/>
        </w:trPr>
        <w:tc>
          <w:tcPr>
            <w:tcW w:w="2518" w:type="dxa"/>
            <w:vMerge/>
            <w:shd w:val="clear" w:color="auto" w:fill="E2EFD9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F2F2F2"/>
          </w:tcPr>
          <w:p w:rsidR="00872B4F" w:rsidRPr="00F43B91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bCs/>
                <w:i/>
                <w:sz w:val="24"/>
                <w:szCs w:val="24"/>
              </w:rPr>
            </w:pPr>
            <w:r w:rsidRPr="00F43B91">
              <w:rPr>
                <w:rFonts w:cs="Calibri"/>
                <w:bCs/>
                <w:i/>
                <w:sz w:val="24"/>
                <w:szCs w:val="24"/>
              </w:rPr>
              <w:t>Date</w:t>
            </w:r>
          </w:p>
        </w:tc>
        <w:tc>
          <w:tcPr>
            <w:tcW w:w="5279" w:type="dxa"/>
            <w:gridSpan w:val="4"/>
            <w:shd w:val="clear" w:color="auto" w:fill="auto"/>
          </w:tcPr>
          <w:p w:rsidR="00872B4F" w:rsidRPr="004E0542" w:rsidRDefault="00872B4F" w:rsidP="00C46428">
            <w:pPr>
              <w:pStyle w:val="ListParagraph"/>
              <w:spacing w:after="0" w:line="240" w:lineRule="auto"/>
              <w:ind w:left="0"/>
              <w:rPr>
                <w:rFonts w:cs="Calibri"/>
                <w:sz w:val="24"/>
                <w:szCs w:val="24"/>
              </w:rPr>
            </w:pPr>
          </w:p>
        </w:tc>
      </w:tr>
    </w:tbl>
    <w:p w:rsidR="00872B4F" w:rsidRDefault="00872B4F"/>
    <w:sectPr w:rsidR="00872B4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2B4F"/>
    <w:rsid w:val="0074784D"/>
    <w:rsid w:val="00872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798C33"/>
  <w15:chartTrackingRefBased/>
  <w15:docId w15:val="{C1EEDF4F-4483-4F4A-A161-545CFBD5D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72B4F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872B4F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NoSpacing">
    <w:name w:val="No Spacing"/>
    <w:uiPriority w:val="1"/>
    <w:qFormat/>
    <w:rsid w:val="00872B4F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thameshospice.org.uk/make-a-referral" TargetMode="External"/><Relationship Id="rId5" Type="http://schemas.openxmlformats.org/officeDocument/2006/relationships/hyperlink" Target="mailto:stephanie.peters@thameshospice.org.uk" TargetMode="External"/><Relationship Id="rId4" Type="http://schemas.openxmlformats.org/officeDocument/2006/relationships/hyperlink" Target="mailto:frimleyicb.collaborative.communications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338</Words>
  <Characters>1932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Thames Hospice Care</Company>
  <LinksUpToDate>false</LinksUpToDate>
  <CharactersWithSpaces>2266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Peters</dc:creator>
  <cp:keywords/>
  <dc:description/>
  <cp:lastModifiedBy>Stephanie Peters</cp:lastModifiedBy>
  <cp:revision>1</cp:revision>
  <dcterms:created xsi:type="dcterms:W3CDTF">2023-11-21T11:21:00Z</dcterms:created>
  <dcterms:modified xsi:type="dcterms:W3CDTF">2023-11-21T11:29:00Z</dcterms:modified>
</cp:coreProperties>
</file>