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B892D0" w14:textId="77777777" w:rsidR="00296BCA" w:rsidRDefault="00296BCA" w:rsidP="00BD3189">
      <w:pPr>
        <w:pStyle w:val="xmsonormal"/>
        <w:rPr>
          <w:b/>
          <w:bCs/>
          <w:u w:val="single"/>
        </w:rPr>
      </w:pPr>
    </w:p>
    <w:p w14:paraId="540F97B7" w14:textId="7BE10B24" w:rsidR="009C2893" w:rsidRPr="002F2800" w:rsidRDefault="009C2893" w:rsidP="009C2893">
      <w:pPr>
        <w:rPr>
          <w:b/>
          <w:bCs/>
          <w:sz w:val="24"/>
          <w:szCs w:val="24"/>
          <w:u w:val="single"/>
        </w:rPr>
      </w:pPr>
      <w:r>
        <w:rPr>
          <w:b/>
          <w:bCs/>
          <w:sz w:val="24"/>
          <w:szCs w:val="24"/>
          <w:u w:val="single"/>
        </w:rPr>
        <w:t>FHFT –</w:t>
      </w:r>
      <w:r w:rsidR="00874EF7">
        <w:rPr>
          <w:b/>
          <w:bCs/>
          <w:sz w:val="24"/>
          <w:szCs w:val="24"/>
          <w:u w:val="single"/>
        </w:rPr>
        <w:t xml:space="preserve">Dietetics </w:t>
      </w:r>
      <w:r w:rsidR="00607EE1">
        <w:rPr>
          <w:b/>
          <w:bCs/>
          <w:sz w:val="24"/>
          <w:szCs w:val="24"/>
          <w:u w:val="single"/>
        </w:rPr>
        <w:t xml:space="preserve">Services available on </w:t>
      </w:r>
      <w:proofErr w:type="spellStart"/>
      <w:r w:rsidR="00607EE1">
        <w:rPr>
          <w:b/>
          <w:bCs/>
          <w:sz w:val="24"/>
          <w:szCs w:val="24"/>
          <w:u w:val="single"/>
        </w:rPr>
        <w:t>eRS</w:t>
      </w:r>
      <w:proofErr w:type="spellEnd"/>
      <w:r w:rsidR="0070795A">
        <w:rPr>
          <w:b/>
          <w:bCs/>
          <w:sz w:val="24"/>
          <w:szCs w:val="24"/>
          <w:u w:val="single"/>
        </w:rPr>
        <w:t xml:space="preserve"> </w:t>
      </w:r>
      <w:r>
        <w:rPr>
          <w:b/>
          <w:bCs/>
          <w:sz w:val="24"/>
          <w:szCs w:val="24"/>
          <w:u w:val="single"/>
        </w:rPr>
        <w:t xml:space="preserve">from </w:t>
      </w:r>
      <w:r w:rsidR="002C196B">
        <w:rPr>
          <w:b/>
          <w:bCs/>
          <w:sz w:val="24"/>
          <w:szCs w:val="24"/>
          <w:u w:val="single"/>
        </w:rPr>
        <w:t>Monday 27</w:t>
      </w:r>
      <w:r w:rsidR="002C196B" w:rsidRPr="002C196B">
        <w:rPr>
          <w:b/>
          <w:bCs/>
          <w:sz w:val="24"/>
          <w:szCs w:val="24"/>
          <w:u w:val="single"/>
          <w:vertAlign w:val="superscript"/>
        </w:rPr>
        <w:t>th</w:t>
      </w:r>
      <w:r w:rsidR="002C196B">
        <w:rPr>
          <w:b/>
          <w:bCs/>
          <w:sz w:val="24"/>
          <w:szCs w:val="24"/>
          <w:u w:val="single"/>
        </w:rPr>
        <w:t xml:space="preserve"> February 2023</w:t>
      </w:r>
      <w:r w:rsidR="00BF0183">
        <w:rPr>
          <w:b/>
          <w:bCs/>
          <w:sz w:val="24"/>
          <w:szCs w:val="24"/>
          <w:u w:val="single"/>
        </w:rPr>
        <w:t xml:space="preserve"> (Frimley South Practices only) </w:t>
      </w:r>
    </w:p>
    <w:p w14:paraId="753C3758" w14:textId="77777777" w:rsidR="009C2893" w:rsidRPr="009C2893" w:rsidRDefault="009C2893" w:rsidP="009C2893">
      <w:pPr>
        <w:pStyle w:val="xmsonormal"/>
        <w:rPr>
          <w:b/>
          <w:bCs/>
          <w:sz w:val="24"/>
          <w:szCs w:val="24"/>
          <w:u w:val="single"/>
          <w:lang w:eastAsia="en-US"/>
        </w:rPr>
      </w:pPr>
    </w:p>
    <w:p w14:paraId="55488ED6" w14:textId="71876607" w:rsidR="00607EE1" w:rsidRDefault="00607EE1" w:rsidP="00607EE1">
      <w:pPr>
        <w:jc w:val="both"/>
      </w:pPr>
      <w:r>
        <w:t xml:space="preserve">We are pleased to advise the below services are now available on </w:t>
      </w:r>
      <w:proofErr w:type="spellStart"/>
      <w:r>
        <w:t>eRS</w:t>
      </w:r>
      <w:proofErr w:type="spellEnd"/>
      <w:r>
        <w:t xml:space="preserve"> and should be used moving forward instead of posting or e-mailing referrals. </w:t>
      </w:r>
    </w:p>
    <w:p w14:paraId="72620829" w14:textId="7EFA7171" w:rsidR="00607EE1" w:rsidRDefault="00D06641" w:rsidP="00D06641">
      <w:pPr>
        <w:tabs>
          <w:tab w:val="left" w:pos="1680"/>
        </w:tabs>
        <w:jc w:val="both"/>
        <w:rPr>
          <w:b/>
          <w:bCs/>
        </w:rPr>
      </w:pPr>
      <w:r>
        <w:rPr>
          <w:b/>
          <w:bCs/>
        </w:rPr>
        <w:tab/>
      </w:r>
    </w:p>
    <w:p w14:paraId="5F2A5E30" w14:textId="3583D7EE" w:rsidR="003913A5" w:rsidRDefault="009C2893" w:rsidP="003913A5">
      <w:r w:rsidRPr="00497C21">
        <w:t xml:space="preserve">The </w:t>
      </w:r>
      <w:r w:rsidR="00607EE1">
        <w:t xml:space="preserve">below </w:t>
      </w:r>
      <w:r w:rsidRPr="00497C21">
        <w:t>service</w:t>
      </w:r>
      <w:r w:rsidR="00607EE1">
        <w:t>s</w:t>
      </w:r>
      <w:r w:rsidRPr="00497C21">
        <w:t xml:space="preserve"> can</w:t>
      </w:r>
      <w:r w:rsidR="00607EE1">
        <w:t xml:space="preserve"> </w:t>
      </w:r>
      <w:r w:rsidRPr="00497C21">
        <w:t xml:space="preserve">be accessed by selecting </w:t>
      </w:r>
      <w:r>
        <w:t xml:space="preserve">the relevant RAS </w:t>
      </w:r>
      <w:r w:rsidRPr="00497C21">
        <w:t>service</w:t>
      </w:r>
      <w:r>
        <w:t xml:space="preserve"> below </w:t>
      </w:r>
      <w:r w:rsidRPr="00497C21">
        <w:t xml:space="preserve">on </w:t>
      </w:r>
      <w:proofErr w:type="spellStart"/>
      <w:r w:rsidRPr="00497C21">
        <w:t>eRS</w:t>
      </w:r>
      <w:proofErr w:type="spellEnd"/>
      <w:r w:rsidRPr="00497C21">
        <w:t>. Frimley Health will contact the patient directly to book a virtual</w:t>
      </w:r>
      <w:r>
        <w:t xml:space="preserve"> or </w:t>
      </w:r>
      <w:r w:rsidRPr="00497C21">
        <w:t>face to face outpatient appointment</w:t>
      </w:r>
      <w:r>
        <w:t xml:space="preserve">, a </w:t>
      </w:r>
      <w:r w:rsidRPr="00497C21">
        <w:t xml:space="preserve">secondary care diagnostic </w:t>
      </w:r>
      <w:r>
        <w:t xml:space="preserve">test, </w:t>
      </w:r>
      <w:r w:rsidRPr="00497C21">
        <w:t xml:space="preserve">or management advice may be sent back </w:t>
      </w:r>
      <w:r>
        <w:t>to you</w:t>
      </w:r>
      <w:r w:rsidRPr="00497C21">
        <w:t xml:space="preserve">. Those returned with management advice will appear on your </w:t>
      </w:r>
      <w:r w:rsidRPr="00E243EC">
        <w:rPr>
          <w:b/>
          <w:bCs/>
          <w:i/>
          <w:iCs/>
        </w:rPr>
        <w:t>Referrer Action Required Worklist</w:t>
      </w:r>
      <w:r w:rsidRPr="00497C21">
        <w:t xml:space="preserve">. Please action in accordance </w:t>
      </w:r>
      <w:r w:rsidRPr="000E757A">
        <w:t>with the comments on the worklist</w:t>
      </w:r>
      <w:r w:rsidRPr="00497C21">
        <w:t xml:space="preserve">. Where a detailed response is required, the clinicians will write a dictated letter to </w:t>
      </w:r>
      <w:r>
        <w:t>you</w:t>
      </w:r>
      <w:r w:rsidRPr="00497C21">
        <w:t xml:space="preserve"> and copy in the patient.</w:t>
      </w:r>
      <w:r w:rsidR="003913A5">
        <w:t xml:space="preserve"> </w:t>
      </w:r>
      <w:r w:rsidR="003913A5">
        <w:rPr>
          <w:b/>
          <w:bCs/>
          <w:u w:val="single"/>
        </w:rPr>
        <w:t>Advice &amp; Guidance</w:t>
      </w:r>
      <w:r w:rsidR="003913A5">
        <w:t xml:space="preserve"> will also be offered alongside this service to provide specialist advice. </w:t>
      </w:r>
      <w:r w:rsidR="003913A5" w:rsidRPr="00497C21">
        <w:t xml:space="preserve">This can be accessed by selecting the request type ‘advice’ on the </w:t>
      </w:r>
      <w:proofErr w:type="spellStart"/>
      <w:r w:rsidR="003913A5" w:rsidRPr="00497C21">
        <w:t>eRS</w:t>
      </w:r>
      <w:proofErr w:type="spellEnd"/>
      <w:r w:rsidR="003913A5" w:rsidRPr="00497C21">
        <w:t xml:space="preserve"> service</w:t>
      </w:r>
      <w:r w:rsidR="003913A5">
        <w:t xml:space="preserve"> below</w:t>
      </w:r>
      <w:r w:rsidR="003913A5" w:rsidRPr="00497C21">
        <w:t xml:space="preserve">. </w:t>
      </w:r>
    </w:p>
    <w:p w14:paraId="26B03F05" w14:textId="77777777" w:rsidR="003D4486" w:rsidRDefault="003D4486" w:rsidP="003913A5"/>
    <w:p w14:paraId="22332F1B" w14:textId="2A2F0BD8" w:rsidR="001F48D3" w:rsidRPr="005246BA" w:rsidRDefault="001F48D3" w:rsidP="009C143B">
      <w:pPr>
        <w:pStyle w:val="xmsonormal"/>
        <w:jc w:val="both"/>
        <w:rPr>
          <w:b/>
          <w:bCs/>
          <w:sz w:val="24"/>
          <w:szCs w:val="24"/>
        </w:rPr>
      </w:pPr>
      <w:r w:rsidRPr="005246BA">
        <w:rPr>
          <w:b/>
          <w:bCs/>
          <w:sz w:val="24"/>
          <w:szCs w:val="24"/>
        </w:rPr>
        <w:t>Exclusions</w:t>
      </w:r>
      <w:r w:rsidR="00F071DC" w:rsidRPr="005246BA">
        <w:rPr>
          <w:b/>
          <w:bCs/>
          <w:sz w:val="24"/>
          <w:szCs w:val="24"/>
        </w:rPr>
        <w:t xml:space="preserve"> for adult referrals</w:t>
      </w:r>
      <w:r w:rsidRPr="005246BA">
        <w:rPr>
          <w:b/>
          <w:bCs/>
          <w:sz w:val="24"/>
          <w:szCs w:val="24"/>
        </w:rPr>
        <w:t xml:space="preserve">: </w:t>
      </w:r>
    </w:p>
    <w:p w14:paraId="69E62912" w14:textId="77777777" w:rsidR="00F071DC" w:rsidRPr="003D4486" w:rsidRDefault="00F071DC" w:rsidP="009C143B">
      <w:pPr>
        <w:pStyle w:val="xmsonormal"/>
        <w:jc w:val="both"/>
        <w:rPr>
          <w:b/>
          <w:bCs/>
          <w:sz w:val="28"/>
          <w:szCs w:val="28"/>
        </w:rPr>
      </w:pPr>
    </w:p>
    <w:p w14:paraId="2C90B8ED" w14:textId="45CC16EF" w:rsidR="001F48D3" w:rsidRPr="005246BA" w:rsidRDefault="001F48D3" w:rsidP="001F48D3">
      <w:pPr>
        <w:rPr>
          <w:rFonts w:asciiTheme="minorHAnsi" w:hAnsiTheme="minorHAnsi" w:cstheme="minorHAnsi"/>
          <w:b/>
          <w:bCs/>
        </w:rPr>
      </w:pPr>
      <w:r w:rsidRPr="005246BA">
        <w:rPr>
          <w:rFonts w:asciiTheme="minorHAnsi" w:hAnsiTheme="minorHAnsi" w:cstheme="minorHAnsi"/>
          <w:b/>
          <w:bCs/>
        </w:rPr>
        <w:t xml:space="preserve">Malnutrition (if first-line interventions have not been implemented) </w:t>
      </w:r>
    </w:p>
    <w:p w14:paraId="0BED3511" w14:textId="30EE98DA" w:rsidR="001F48D3" w:rsidRPr="003D4486" w:rsidRDefault="001F48D3" w:rsidP="003D4486">
      <w:r w:rsidRPr="003D4486">
        <w:t xml:space="preserve">For adult patients at risk of malnutrition, currently we can only provide a service to patients at high risk where first line ‘Food First’ guidance and oral nutritional supplementation has not been effective and further advice is required. The link to all the NHS Frimley prescribing guidance, including treatment pathway and patient information leaflet can be found here </w:t>
      </w:r>
      <w:hyperlink r:id="rId11" w:history="1">
        <w:r w:rsidRPr="003D4486">
          <w:t>https://www.frimley.icb.nhs.uk/policies-and-documents/medicines-optimisation/prescribing-guidelines-1/nutrition-and-blood</w:t>
        </w:r>
      </w:hyperlink>
    </w:p>
    <w:p w14:paraId="504C96AC" w14:textId="459D576D" w:rsidR="001F48D3" w:rsidRPr="003D4486" w:rsidRDefault="001F48D3" w:rsidP="003D4486"/>
    <w:p w14:paraId="764A221C" w14:textId="77777777" w:rsidR="001F48D3" w:rsidRPr="005246BA" w:rsidRDefault="001F48D3" w:rsidP="003D4486">
      <w:pPr>
        <w:rPr>
          <w:rFonts w:asciiTheme="minorHAnsi" w:hAnsiTheme="minorHAnsi" w:cstheme="minorHAnsi"/>
          <w:b/>
          <w:bCs/>
        </w:rPr>
      </w:pPr>
      <w:r w:rsidRPr="005246BA">
        <w:rPr>
          <w:rFonts w:asciiTheme="minorHAnsi" w:hAnsiTheme="minorHAnsi" w:cstheme="minorHAnsi"/>
          <w:b/>
          <w:bCs/>
        </w:rPr>
        <w:t>IBS</w:t>
      </w:r>
    </w:p>
    <w:p w14:paraId="150B7C7E" w14:textId="77777777" w:rsidR="001F48D3" w:rsidRPr="003D4486" w:rsidRDefault="001F48D3" w:rsidP="003D4486">
      <w:r w:rsidRPr="003D4486">
        <w:t xml:space="preserve">We do not routinely give appointments to patients with IBS unless they are experiencing other issues, such as weight loss or if they do not have access to a computer. If the IBS webinar is not suitable for your patient, please re-refer, stating reasons why the webinar is not appropriate.  Many thanks.  </w:t>
      </w:r>
    </w:p>
    <w:p w14:paraId="74B3AC09" w14:textId="77777777" w:rsidR="001F48D3" w:rsidRPr="003D4486" w:rsidRDefault="001F48D3" w:rsidP="003D4486">
      <w:r w:rsidRPr="003D4486">
        <w:t>If the IBS webinar is appropriate and the patient can self-refer to the dietitian following the webinar if further advice is required. Instructions for IBS webinar referral are on DXS. The webinar includes first line IBS advice with an opportunity for the patient to self-refer to the dietitian, if following this advice, symptoms do not improve.  FODMAP advice (second-line advice for IBS) may be given at the appointment with the dietitian.   </w:t>
      </w:r>
    </w:p>
    <w:p w14:paraId="2BDBD34D" w14:textId="77777777" w:rsidR="001F48D3" w:rsidRPr="005246BA" w:rsidRDefault="001F48D3" w:rsidP="003D4486">
      <w:pPr>
        <w:rPr>
          <w:rFonts w:asciiTheme="minorHAnsi" w:hAnsiTheme="minorHAnsi" w:cstheme="minorHAnsi"/>
        </w:rPr>
      </w:pPr>
    </w:p>
    <w:p w14:paraId="2EF6BFC6" w14:textId="40C31793" w:rsidR="001F48D3" w:rsidRPr="005246BA" w:rsidRDefault="001F48D3" w:rsidP="003D4486">
      <w:pPr>
        <w:rPr>
          <w:rFonts w:asciiTheme="minorHAnsi" w:hAnsiTheme="minorHAnsi" w:cstheme="minorHAnsi"/>
          <w:b/>
          <w:bCs/>
        </w:rPr>
      </w:pPr>
      <w:r w:rsidRPr="005246BA">
        <w:rPr>
          <w:rFonts w:asciiTheme="minorHAnsi" w:hAnsiTheme="minorHAnsi" w:cstheme="minorHAnsi"/>
          <w:b/>
          <w:bCs/>
        </w:rPr>
        <w:t xml:space="preserve">Weight management </w:t>
      </w:r>
    </w:p>
    <w:p w14:paraId="4B27D6DC" w14:textId="77777777" w:rsidR="001F48D3" w:rsidRPr="003D4486" w:rsidRDefault="001F48D3" w:rsidP="003D4486">
      <w:r w:rsidRPr="003D4486">
        <w:t xml:space="preserve">If referring for weight management advice, please note patients will not be seen by the dietitian unless the patient has other co-morbidities, doesn’t have access to a computer or has a learning disability. Below is a link to information for different weight management services available in different parts of the Frimley Health and Care area: </w:t>
      </w:r>
      <w:hyperlink r:id="rId12" w:history="1">
        <w:r w:rsidRPr="003D4486">
          <w:t>https://www.frimleyhealthandcare.org.uk/weightmanagement</w:t>
        </w:r>
      </w:hyperlink>
    </w:p>
    <w:p w14:paraId="402FCD6F" w14:textId="052A29E7" w:rsidR="001F48D3" w:rsidRDefault="001F48D3" w:rsidP="003D4486">
      <w:pPr>
        <w:rPr>
          <w:rFonts w:ascii="Arial" w:hAnsi="Arial" w:cs="Arial"/>
        </w:rPr>
      </w:pPr>
    </w:p>
    <w:p w14:paraId="0BBBD4FF" w14:textId="77777777" w:rsidR="00ED6537" w:rsidRPr="0039494F" w:rsidRDefault="00ED6537" w:rsidP="00ED6537">
      <w:pPr>
        <w:shd w:val="clear" w:color="auto" w:fill="FFFFFF"/>
        <w:textAlignment w:val="baseline"/>
        <w:rPr>
          <w:rFonts w:asciiTheme="minorHAnsi" w:eastAsia="Times New Roman" w:hAnsiTheme="minorHAnsi" w:cstheme="minorHAnsi"/>
          <w:color w:val="000000"/>
          <w:lang w:eastAsia="en-GB"/>
        </w:rPr>
      </w:pPr>
      <w:r w:rsidRPr="0039494F">
        <w:rPr>
          <w:rFonts w:asciiTheme="minorHAnsi" w:eastAsia="Times New Roman" w:hAnsiTheme="minorHAnsi" w:cstheme="minorHAnsi"/>
          <w:b/>
          <w:bCs/>
          <w:color w:val="000000"/>
          <w:lang w:eastAsia="en-GB"/>
        </w:rPr>
        <w:t>Diabetes</w:t>
      </w:r>
    </w:p>
    <w:p w14:paraId="3FE6DF47" w14:textId="100AC35A" w:rsidR="00ED6537" w:rsidRPr="0039494F" w:rsidRDefault="00ED6537" w:rsidP="00ED6537">
      <w:pPr>
        <w:shd w:val="clear" w:color="auto" w:fill="FFFFFF"/>
        <w:textAlignment w:val="baseline"/>
        <w:rPr>
          <w:rFonts w:asciiTheme="minorHAnsi" w:eastAsia="Times New Roman" w:hAnsiTheme="minorHAnsi" w:cstheme="minorHAnsi"/>
          <w:color w:val="000000"/>
          <w:lang w:eastAsia="en-GB"/>
        </w:rPr>
      </w:pPr>
      <w:r w:rsidRPr="0039494F">
        <w:rPr>
          <w:rFonts w:asciiTheme="minorHAnsi" w:eastAsia="Times New Roman" w:hAnsiTheme="minorHAnsi" w:cstheme="minorHAnsi"/>
          <w:color w:val="000000"/>
          <w:bdr w:val="none" w:sz="0" w:space="0" w:color="auto" w:frame="1"/>
          <w:lang w:eastAsia="en-GB"/>
        </w:rPr>
        <w:t>Referrals are accepted for Type 1 and Type 2 diabetes</w:t>
      </w:r>
      <w:r w:rsidR="001B0358">
        <w:rPr>
          <w:rFonts w:asciiTheme="minorHAnsi" w:eastAsia="Times New Roman" w:hAnsiTheme="minorHAnsi" w:cstheme="minorHAnsi"/>
          <w:color w:val="000000"/>
          <w:bdr w:val="none" w:sz="0" w:space="0" w:color="auto" w:frame="1"/>
          <w:lang w:eastAsia="en-GB"/>
        </w:rPr>
        <w:t xml:space="preserve"> on insulin +/- other diabetes medications</w:t>
      </w:r>
      <w:r w:rsidRPr="0039494F">
        <w:rPr>
          <w:rFonts w:asciiTheme="minorHAnsi" w:eastAsia="Times New Roman" w:hAnsiTheme="minorHAnsi" w:cstheme="minorHAnsi"/>
          <w:color w:val="000000"/>
          <w:bdr w:val="none" w:sz="0" w:space="0" w:color="auto" w:frame="1"/>
          <w:lang w:eastAsia="en-GB"/>
        </w:rPr>
        <w:t>.</w:t>
      </w:r>
      <w:r w:rsidRPr="0039494F">
        <w:rPr>
          <w:rFonts w:asciiTheme="minorHAnsi" w:eastAsia="Times New Roman" w:hAnsiTheme="minorHAnsi" w:cstheme="minorHAnsi"/>
          <w:color w:val="000000"/>
          <w:lang w:eastAsia="en-GB"/>
        </w:rPr>
        <w:t> If the patient is newly diagnosed,</w:t>
      </w:r>
      <w:r w:rsidRPr="0039494F">
        <w:rPr>
          <w:rFonts w:asciiTheme="minorHAnsi" w:eastAsia="Times New Roman" w:hAnsiTheme="minorHAnsi" w:cstheme="minorHAnsi"/>
          <w:color w:val="000000"/>
          <w:bdr w:val="none" w:sz="0" w:space="0" w:color="auto" w:frame="1"/>
          <w:lang w:eastAsia="en-GB"/>
        </w:rPr>
        <w:t> please refer to the local Type 2 diabetes education programme, instead of a 1:1 clinic appointment. People with Type 2 Diabetes on insulin</w:t>
      </w:r>
      <w:r>
        <w:rPr>
          <w:rFonts w:asciiTheme="minorHAnsi" w:eastAsia="Times New Roman" w:hAnsiTheme="minorHAnsi" w:cstheme="minorHAnsi"/>
          <w:color w:val="000000"/>
          <w:bdr w:val="none" w:sz="0" w:space="0" w:color="auto" w:frame="1"/>
          <w:lang w:eastAsia="en-GB"/>
        </w:rPr>
        <w:t xml:space="preserve"> +/- other diabetes medications</w:t>
      </w:r>
      <w:r w:rsidRPr="0039494F">
        <w:rPr>
          <w:rFonts w:asciiTheme="minorHAnsi" w:eastAsia="Times New Roman" w:hAnsiTheme="minorHAnsi" w:cstheme="minorHAnsi"/>
          <w:color w:val="000000"/>
          <w:bdr w:val="none" w:sz="0" w:space="0" w:color="auto" w:frame="1"/>
          <w:lang w:eastAsia="en-GB"/>
        </w:rPr>
        <w:t xml:space="preserve"> requiring support with weight loss / co-morbidities may be referred for a 1:1 appointment to the Diabetes Dietetic Service. If referring patients with diabetes for specialist dietetic input, please refer separately using the diabetes dietetic referral form on DXS.</w:t>
      </w:r>
    </w:p>
    <w:p w14:paraId="3D962F20" w14:textId="5E4AE94B" w:rsidR="001F48D3" w:rsidRDefault="001F48D3" w:rsidP="003D4486">
      <w:pPr>
        <w:rPr>
          <w:rFonts w:ascii="Arial" w:hAnsi="Arial" w:cs="Arial"/>
        </w:rPr>
      </w:pPr>
    </w:p>
    <w:p w14:paraId="12FCE467" w14:textId="77777777" w:rsidR="005246BA" w:rsidRDefault="005246BA" w:rsidP="003D4486">
      <w:pPr>
        <w:rPr>
          <w:rFonts w:ascii="Arial" w:hAnsi="Arial" w:cs="Arial"/>
          <w:b/>
          <w:bCs/>
        </w:rPr>
      </w:pPr>
    </w:p>
    <w:p w14:paraId="0786A8DD" w14:textId="535C3227" w:rsidR="001F48D3" w:rsidRPr="009939AE" w:rsidRDefault="001F48D3" w:rsidP="003D4486">
      <w:pPr>
        <w:rPr>
          <w:rFonts w:asciiTheme="minorHAnsi" w:hAnsiTheme="minorHAnsi" w:cstheme="minorHAnsi"/>
          <w:b/>
          <w:bCs/>
        </w:rPr>
      </w:pPr>
      <w:r w:rsidRPr="009939AE">
        <w:rPr>
          <w:rFonts w:asciiTheme="minorHAnsi" w:hAnsiTheme="minorHAnsi" w:cstheme="minorHAnsi"/>
          <w:b/>
          <w:bCs/>
        </w:rPr>
        <w:t>Dietary allergies</w:t>
      </w:r>
    </w:p>
    <w:p w14:paraId="5408ECF1" w14:textId="77777777" w:rsidR="001F48D3" w:rsidRPr="009939AE" w:rsidRDefault="001F48D3" w:rsidP="003D4486">
      <w:r w:rsidRPr="009939AE">
        <w:t xml:space="preserve">Dietitians at Frimley Health Foundation Trust do not specialise in dietary allergies. Please refer to a specialist service. </w:t>
      </w:r>
    </w:p>
    <w:p w14:paraId="7576BE67" w14:textId="77777777" w:rsidR="001F48D3" w:rsidRPr="009939AE" w:rsidRDefault="001F48D3" w:rsidP="003D4486"/>
    <w:p w14:paraId="677361FD" w14:textId="77777777" w:rsidR="001F48D3" w:rsidRPr="009939AE" w:rsidRDefault="001F48D3" w:rsidP="003D4486">
      <w:pPr>
        <w:rPr>
          <w:rFonts w:asciiTheme="minorHAnsi" w:hAnsiTheme="minorHAnsi" w:cstheme="minorHAnsi"/>
          <w:b/>
          <w:bCs/>
        </w:rPr>
      </w:pPr>
      <w:r w:rsidRPr="009939AE">
        <w:rPr>
          <w:rFonts w:asciiTheme="minorHAnsi" w:hAnsiTheme="minorHAnsi" w:cstheme="minorHAnsi"/>
          <w:b/>
          <w:bCs/>
        </w:rPr>
        <w:t>Eating disorders</w:t>
      </w:r>
    </w:p>
    <w:p w14:paraId="50830864" w14:textId="14079486" w:rsidR="001F48D3" w:rsidRPr="009939AE" w:rsidRDefault="001F48D3" w:rsidP="001F48D3">
      <w:r w:rsidRPr="009939AE">
        <w:t>Dietitians at Frimley Health Foundation Trust do not see patients with eating disorders in the outpatient setting. Please refer to specialist eating disorders dietitians in your area.</w:t>
      </w:r>
    </w:p>
    <w:p w14:paraId="01D98FFB" w14:textId="0AF3AA55" w:rsidR="00A04607" w:rsidRPr="009939AE" w:rsidRDefault="00A04607" w:rsidP="001F48D3"/>
    <w:p w14:paraId="74A71C06" w14:textId="77777777" w:rsidR="00FE02D4" w:rsidRDefault="00FE02D4" w:rsidP="00FE02D4">
      <w:pPr>
        <w:rPr>
          <w:b/>
          <w:bCs/>
          <w:sz w:val="24"/>
          <w:szCs w:val="24"/>
        </w:rPr>
      </w:pPr>
      <w:r>
        <w:rPr>
          <w:b/>
          <w:bCs/>
          <w:sz w:val="24"/>
          <w:szCs w:val="24"/>
        </w:rPr>
        <w:t>Patients in care homes in Surrey Heath</w:t>
      </w:r>
    </w:p>
    <w:p w14:paraId="49EB074B" w14:textId="77777777" w:rsidR="00FE02D4" w:rsidRDefault="00FE02D4" w:rsidP="00FE02D4">
      <w:r>
        <w:t>FHFT Community dietitians see housebound patients at risk of malnutrition in their own homes in NEHF and SH, but only cover care homes in NEHF. Patients in SH in care homes will need to be referred to Chayanne Chin-A-</w:t>
      </w:r>
      <w:proofErr w:type="spellStart"/>
      <w:r>
        <w:t>Woeng</w:t>
      </w:r>
      <w:proofErr w:type="spellEnd"/>
      <w:r>
        <w:t xml:space="preserve"> (SH PCN Care Homes dietitian) via </w:t>
      </w:r>
      <w:hyperlink r:id="rId13" w:history="1">
        <w:r>
          <w:rPr>
            <w:rStyle w:val="Hyperlink"/>
          </w:rPr>
          <w:t>shcp.carehomes@nhs.net</w:t>
        </w:r>
      </w:hyperlink>
    </w:p>
    <w:p w14:paraId="4DE5CA3B" w14:textId="77777777" w:rsidR="001F48D3" w:rsidRPr="009939AE" w:rsidRDefault="001F48D3" w:rsidP="009939AE"/>
    <w:p w14:paraId="4CDC71E8" w14:textId="6A042E03" w:rsidR="001F48D3" w:rsidRPr="009939AE" w:rsidRDefault="00F071DC" w:rsidP="009C143B">
      <w:pPr>
        <w:pStyle w:val="xmsonormal"/>
        <w:jc w:val="both"/>
        <w:rPr>
          <w:rFonts w:asciiTheme="minorHAnsi" w:hAnsiTheme="minorHAnsi" w:cstheme="minorHAnsi"/>
          <w:b/>
          <w:bCs/>
          <w:sz w:val="24"/>
          <w:szCs w:val="24"/>
          <w:u w:val="single"/>
        </w:rPr>
      </w:pPr>
      <w:r w:rsidRPr="009939AE">
        <w:rPr>
          <w:rFonts w:asciiTheme="minorHAnsi" w:hAnsiTheme="minorHAnsi" w:cstheme="minorHAnsi"/>
          <w:b/>
          <w:bCs/>
          <w:sz w:val="24"/>
          <w:szCs w:val="24"/>
          <w:u w:val="single"/>
        </w:rPr>
        <w:t xml:space="preserve">Exclusion for paediatric referrals: </w:t>
      </w:r>
    </w:p>
    <w:p w14:paraId="3D661417" w14:textId="74E36F53" w:rsidR="00F071DC" w:rsidRPr="009939AE" w:rsidRDefault="00F071DC" w:rsidP="009C143B">
      <w:pPr>
        <w:pStyle w:val="xmsonormal"/>
        <w:jc w:val="both"/>
        <w:rPr>
          <w:lang w:eastAsia="en-US"/>
        </w:rPr>
      </w:pPr>
      <w:r w:rsidRPr="009939AE">
        <w:rPr>
          <w:lang w:eastAsia="en-US"/>
        </w:rPr>
        <w:t>Cardiovascular disease risk management </w:t>
      </w:r>
    </w:p>
    <w:p w14:paraId="5E01AE2D" w14:textId="77777777" w:rsidR="00F071DC" w:rsidRDefault="00F071DC" w:rsidP="009939AE">
      <w:pPr>
        <w:rPr>
          <w:b/>
          <w:bCs/>
        </w:rPr>
      </w:pPr>
    </w:p>
    <w:p w14:paraId="162DF5AC" w14:textId="3DA13BD1" w:rsidR="00F5555F" w:rsidRPr="00C51953" w:rsidRDefault="00A63D3C" w:rsidP="00F5555F">
      <w:pPr>
        <w:pStyle w:val="xxmsolistparagraph"/>
        <w:shd w:val="clear" w:color="auto" w:fill="FFFFFF"/>
        <w:spacing w:before="0" w:beforeAutospacing="0" w:after="0" w:afterAutospacing="0"/>
        <w:rPr>
          <w:rFonts w:ascii="Calibri" w:hAnsi="Calibri" w:cs="Calibri"/>
          <w:b/>
          <w:bCs/>
          <w:i/>
          <w:iCs/>
          <w:sz w:val="20"/>
          <w:szCs w:val="20"/>
          <w:lang w:eastAsia="en-US"/>
        </w:rPr>
      </w:pPr>
      <w:r>
        <w:rPr>
          <w:rFonts w:ascii="Calibri" w:hAnsi="Calibri" w:cs="Calibri"/>
          <w:b/>
          <w:bCs/>
          <w:color w:val="201F1E"/>
          <w:sz w:val="22"/>
          <w:szCs w:val="22"/>
          <w:bdr w:val="none" w:sz="0" w:space="0" w:color="auto" w:frame="1"/>
        </w:rPr>
        <w:t>R</w:t>
      </w:r>
      <w:r w:rsidR="00874EF7">
        <w:rPr>
          <w:rFonts w:ascii="Calibri" w:hAnsi="Calibri" w:cs="Calibri"/>
          <w:b/>
          <w:bCs/>
          <w:color w:val="201F1E"/>
          <w:sz w:val="22"/>
          <w:szCs w:val="22"/>
          <w:bdr w:val="none" w:sz="0" w:space="0" w:color="auto" w:frame="1"/>
        </w:rPr>
        <w:t>eferral form</w:t>
      </w:r>
      <w:r>
        <w:rPr>
          <w:rFonts w:ascii="Calibri" w:hAnsi="Calibri" w:cs="Calibri"/>
          <w:b/>
          <w:bCs/>
          <w:color w:val="201F1E"/>
          <w:sz w:val="22"/>
          <w:szCs w:val="22"/>
          <w:bdr w:val="none" w:sz="0" w:space="0" w:color="auto" w:frame="1"/>
        </w:rPr>
        <w:t xml:space="preserve">s for </w:t>
      </w:r>
      <w:r w:rsidR="00E472B4">
        <w:rPr>
          <w:rFonts w:ascii="Calibri" w:hAnsi="Calibri" w:cs="Calibri"/>
          <w:b/>
          <w:bCs/>
          <w:color w:val="201F1E"/>
          <w:sz w:val="22"/>
          <w:szCs w:val="22"/>
          <w:bdr w:val="none" w:sz="0" w:space="0" w:color="auto" w:frame="1"/>
        </w:rPr>
        <w:t xml:space="preserve">all of the below services </w:t>
      </w:r>
      <w:r w:rsidR="00874EF7">
        <w:rPr>
          <w:rFonts w:ascii="Calibri" w:hAnsi="Calibri" w:cs="Calibri"/>
          <w:b/>
          <w:bCs/>
          <w:color w:val="201F1E"/>
          <w:sz w:val="22"/>
          <w:szCs w:val="22"/>
          <w:bdr w:val="none" w:sz="0" w:space="0" w:color="auto" w:frame="1"/>
        </w:rPr>
        <w:t xml:space="preserve">can be found on DXS in the following location: </w:t>
      </w:r>
      <w:r w:rsidR="0094723D" w:rsidRPr="00C51953">
        <w:rPr>
          <w:rFonts w:ascii="Calibri" w:hAnsi="Calibri" w:cs="Calibri"/>
          <w:b/>
          <w:bCs/>
          <w:i/>
          <w:iCs/>
          <w:sz w:val="20"/>
          <w:szCs w:val="20"/>
          <w:lang w:eastAsia="en-US"/>
        </w:rPr>
        <w:t>Frimley Health and Care/</w:t>
      </w:r>
      <w:proofErr w:type="gramStart"/>
      <w:r w:rsidR="00BB6197" w:rsidRPr="00C51953">
        <w:rPr>
          <w:rFonts w:ascii="Calibri" w:hAnsi="Calibri" w:cs="Calibri"/>
          <w:b/>
          <w:bCs/>
          <w:i/>
          <w:iCs/>
          <w:sz w:val="20"/>
          <w:szCs w:val="20"/>
          <w:lang w:eastAsia="en-US"/>
        </w:rPr>
        <w:t>North East</w:t>
      </w:r>
      <w:proofErr w:type="gramEnd"/>
      <w:r w:rsidR="00BB6197" w:rsidRPr="00C51953">
        <w:rPr>
          <w:rFonts w:ascii="Calibri" w:hAnsi="Calibri" w:cs="Calibri"/>
          <w:b/>
          <w:bCs/>
          <w:i/>
          <w:iCs/>
          <w:sz w:val="20"/>
          <w:szCs w:val="20"/>
          <w:lang w:eastAsia="en-US"/>
        </w:rPr>
        <w:t xml:space="preserve"> Hampshire and Farnham / Referral Forms and the Paediatrics form under </w:t>
      </w:r>
      <w:r w:rsidR="00DD219B" w:rsidRPr="00C51953">
        <w:rPr>
          <w:rFonts w:ascii="Calibri" w:hAnsi="Calibri" w:cs="Calibri"/>
          <w:b/>
          <w:bCs/>
          <w:i/>
          <w:iCs/>
          <w:sz w:val="20"/>
          <w:szCs w:val="20"/>
          <w:lang w:eastAsia="en-US"/>
        </w:rPr>
        <w:t>Frimley Health and Care/</w:t>
      </w:r>
      <w:r w:rsidR="00410C2D" w:rsidRPr="00C51953">
        <w:rPr>
          <w:rFonts w:ascii="Calibri" w:hAnsi="Calibri" w:cs="Calibri"/>
          <w:b/>
          <w:bCs/>
          <w:i/>
          <w:iCs/>
          <w:sz w:val="20"/>
          <w:szCs w:val="20"/>
          <w:lang w:eastAsia="en-US"/>
        </w:rPr>
        <w:t>Paediatrics/</w:t>
      </w:r>
      <w:r w:rsidR="00BF18EC" w:rsidRPr="00C51953">
        <w:rPr>
          <w:rFonts w:ascii="Calibri" w:hAnsi="Calibri" w:cs="Calibri"/>
          <w:b/>
          <w:bCs/>
          <w:i/>
          <w:iCs/>
          <w:sz w:val="20"/>
          <w:szCs w:val="20"/>
          <w:lang w:eastAsia="en-US"/>
        </w:rPr>
        <w:t xml:space="preserve">North East Hampshire and Farnham / Referral Forms </w:t>
      </w:r>
    </w:p>
    <w:p w14:paraId="01D510CA" w14:textId="77777777" w:rsidR="00BF18EC" w:rsidRDefault="00BF18EC" w:rsidP="00F5555F">
      <w:pPr>
        <w:pStyle w:val="xxmsolistparagraph"/>
        <w:shd w:val="clear" w:color="auto" w:fill="FFFFFF"/>
        <w:spacing w:before="0" w:beforeAutospacing="0" w:after="0" w:afterAutospacing="0"/>
      </w:pPr>
    </w:p>
    <w:p w14:paraId="7372B9F6" w14:textId="77777777" w:rsidR="00764CFC" w:rsidRDefault="005547A1" w:rsidP="00764CFC">
      <w:pPr>
        <w:pStyle w:val="xxmsolistparagraph"/>
        <w:shd w:val="clear" w:color="auto" w:fill="FFFFFF"/>
        <w:spacing w:before="0" w:beforeAutospacing="0" w:after="0" w:afterAutospacing="0"/>
        <w:rPr>
          <w:rFonts w:ascii="Calibri" w:hAnsi="Calibri" w:cs="Calibri"/>
          <w:sz w:val="22"/>
          <w:szCs w:val="22"/>
          <w:lang w:eastAsia="en-US"/>
        </w:rPr>
      </w:pPr>
      <w:r>
        <w:rPr>
          <w:rFonts w:asciiTheme="minorHAnsi" w:hAnsiTheme="minorHAnsi" w:cstheme="minorHAnsi"/>
          <w:b/>
          <w:bCs/>
          <w:lang w:eastAsia="en-US"/>
        </w:rPr>
        <w:t>**</w:t>
      </w:r>
      <w:r w:rsidR="009E7600" w:rsidRPr="00764CFC">
        <w:rPr>
          <w:rFonts w:asciiTheme="minorHAnsi" w:hAnsiTheme="minorHAnsi" w:cstheme="minorHAnsi"/>
          <w:b/>
          <w:bCs/>
          <w:color w:val="00B0F0"/>
          <w:lang w:eastAsia="en-US"/>
        </w:rPr>
        <w:t>Please note</w:t>
      </w:r>
      <w:r w:rsidRPr="00764CFC">
        <w:rPr>
          <w:rFonts w:asciiTheme="minorHAnsi" w:hAnsiTheme="minorHAnsi" w:cstheme="minorHAnsi"/>
          <w:b/>
          <w:bCs/>
          <w:color w:val="00B0F0"/>
          <w:lang w:eastAsia="en-US"/>
        </w:rPr>
        <w:t xml:space="preserve">: </w:t>
      </w:r>
      <w:r w:rsidR="009E7600" w:rsidRPr="00764CFC">
        <w:rPr>
          <w:color w:val="00B0F0"/>
        </w:rPr>
        <w:t xml:space="preserve"> </w:t>
      </w:r>
      <w:r w:rsidR="00764CFC">
        <w:rPr>
          <w:rFonts w:ascii="Calibri" w:hAnsi="Calibri" w:cs="Calibri"/>
          <w:sz w:val="22"/>
          <w:szCs w:val="22"/>
          <w:lang w:eastAsia="en-US"/>
        </w:rPr>
        <w:t xml:space="preserve">The service for Nutrition and Dietetics (Type 2 Structured education-Desmond) is for </w:t>
      </w:r>
      <w:proofErr w:type="gramStart"/>
      <w:r w:rsidR="00764CFC">
        <w:rPr>
          <w:rFonts w:ascii="Calibri" w:hAnsi="Calibri" w:cs="Calibri"/>
          <w:sz w:val="22"/>
          <w:szCs w:val="22"/>
          <w:lang w:eastAsia="en-US"/>
        </w:rPr>
        <w:t>North East</w:t>
      </w:r>
      <w:proofErr w:type="gramEnd"/>
      <w:r w:rsidR="00764CFC">
        <w:rPr>
          <w:rFonts w:ascii="Calibri" w:hAnsi="Calibri" w:cs="Calibri"/>
          <w:sz w:val="22"/>
          <w:szCs w:val="22"/>
          <w:lang w:eastAsia="en-US"/>
        </w:rPr>
        <w:t xml:space="preserve"> Hants and Farnham ONLY. This service will be available to Surrey Heath Practices from the </w:t>
      </w:r>
      <w:r w:rsidR="00764CFC">
        <w:rPr>
          <w:rFonts w:ascii="Calibri" w:hAnsi="Calibri" w:cs="Calibri"/>
          <w:b/>
          <w:bCs/>
          <w:sz w:val="22"/>
          <w:szCs w:val="22"/>
          <w:u w:val="single"/>
          <w:lang w:eastAsia="en-US"/>
        </w:rPr>
        <w:t>1st of April 2023</w:t>
      </w:r>
      <w:r w:rsidR="00764CFC">
        <w:rPr>
          <w:rFonts w:ascii="Calibri" w:hAnsi="Calibri" w:cs="Calibri"/>
          <w:sz w:val="22"/>
          <w:szCs w:val="22"/>
          <w:lang w:eastAsia="en-US"/>
        </w:rPr>
        <w:t xml:space="preserve">. Until then Surrey Heath Practices please continue to use your normal pathway. </w:t>
      </w:r>
    </w:p>
    <w:p w14:paraId="38463781" w14:textId="135507C8" w:rsidR="009E7600" w:rsidRPr="00764CFC" w:rsidRDefault="009E7600" w:rsidP="00F5555F">
      <w:pPr>
        <w:pStyle w:val="xxmsolistparagraph"/>
        <w:shd w:val="clear" w:color="auto" w:fill="FFFFFF"/>
        <w:spacing w:before="0" w:beforeAutospacing="0" w:after="0" w:afterAutospacing="0"/>
        <w:rPr>
          <w:rFonts w:ascii="Calibri" w:hAnsi="Calibri" w:cs="Calibri"/>
          <w:color w:val="00B0F0"/>
          <w:sz w:val="22"/>
          <w:szCs w:val="22"/>
          <w:lang w:eastAsia="en-US"/>
        </w:rPr>
      </w:pPr>
    </w:p>
    <w:p w14:paraId="57714797" w14:textId="7059A473" w:rsidR="00B05E8A" w:rsidRDefault="00B05E8A" w:rsidP="00B05E8A">
      <w:r>
        <w:rPr>
          <w:b/>
          <w:bCs/>
        </w:rPr>
        <w:t>Frimley South</w:t>
      </w:r>
      <w:r>
        <w:t xml:space="preserve"> cannot accept referrals from GP surgeries in the Wexham Park Hospital catchment unless the patient is under consultant care. </w:t>
      </w:r>
    </w:p>
    <w:p w14:paraId="203FF98F" w14:textId="77777777" w:rsidR="009C2893" w:rsidRDefault="009C2893" w:rsidP="009C2893">
      <w:pPr>
        <w:pStyle w:val="xmsonormal"/>
        <w:rPr>
          <w:b/>
          <w:bCs/>
        </w:rPr>
      </w:pPr>
    </w:p>
    <w:p w14:paraId="5155B49F" w14:textId="60ED50F5" w:rsidR="009C2893" w:rsidRDefault="009C2893" w:rsidP="009C2893">
      <w:pPr>
        <w:pStyle w:val="xmsonormal"/>
        <w:rPr>
          <w:b/>
          <w:bCs/>
          <w:sz w:val="24"/>
          <w:szCs w:val="24"/>
        </w:rPr>
      </w:pPr>
      <w:r>
        <w:rPr>
          <w:b/>
          <w:bCs/>
          <w:sz w:val="24"/>
          <w:szCs w:val="24"/>
        </w:rPr>
        <w:t xml:space="preserve">Frimley South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6520"/>
        <w:gridCol w:w="1701"/>
      </w:tblGrid>
      <w:tr w:rsidR="009C2893" w:rsidRPr="006D33A7" w14:paraId="68219735" w14:textId="77777777" w:rsidTr="009C143B">
        <w:trPr>
          <w:trHeight w:val="300"/>
        </w:trPr>
        <w:tc>
          <w:tcPr>
            <w:tcW w:w="1413" w:type="dxa"/>
            <w:shd w:val="clear" w:color="auto" w:fill="9CC2E5" w:themeFill="accent1" w:themeFillTint="99"/>
            <w:vAlign w:val="bottom"/>
            <w:hideMark/>
          </w:tcPr>
          <w:p w14:paraId="5741D364" w14:textId="77777777" w:rsidR="009C2893" w:rsidRPr="006D33A7" w:rsidRDefault="009C2893" w:rsidP="006D3A32">
            <w:pPr>
              <w:jc w:val="center"/>
              <w:rPr>
                <w:b/>
                <w:bCs/>
              </w:rPr>
            </w:pPr>
            <w:r w:rsidRPr="00542FFD">
              <w:rPr>
                <w:b/>
                <w:bCs/>
              </w:rPr>
              <w:t>Specialty</w:t>
            </w:r>
          </w:p>
        </w:tc>
        <w:tc>
          <w:tcPr>
            <w:tcW w:w="6520" w:type="dxa"/>
            <w:shd w:val="clear" w:color="auto" w:fill="9CC2E5" w:themeFill="accent1" w:themeFillTint="99"/>
            <w:vAlign w:val="bottom"/>
            <w:hideMark/>
          </w:tcPr>
          <w:p w14:paraId="13579572" w14:textId="77777777" w:rsidR="009C2893" w:rsidRPr="006D33A7" w:rsidRDefault="009C2893" w:rsidP="006D3A32">
            <w:pPr>
              <w:jc w:val="center"/>
              <w:rPr>
                <w:b/>
                <w:bCs/>
              </w:rPr>
            </w:pPr>
            <w:r w:rsidRPr="00542FFD">
              <w:rPr>
                <w:b/>
                <w:bCs/>
              </w:rPr>
              <w:t>Service</w:t>
            </w:r>
          </w:p>
        </w:tc>
        <w:tc>
          <w:tcPr>
            <w:tcW w:w="1701" w:type="dxa"/>
            <w:shd w:val="clear" w:color="auto" w:fill="9CC2E5" w:themeFill="accent1" w:themeFillTint="99"/>
            <w:noWrap/>
            <w:vAlign w:val="bottom"/>
            <w:hideMark/>
          </w:tcPr>
          <w:p w14:paraId="220D0265" w14:textId="77777777" w:rsidR="009C2893" w:rsidRPr="006D33A7" w:rsidRDefault="009C2893" w:rsidP="006D3A32">
            <w:pPr>
              <w:jc w:val="center"/>
              <w:rPr>
                <w:b/>
                <w:bCs/>
              </w:rPr>
            </w:pPr>
            <w:r w:rsidRPr="00542FFD">
              <w:rPr>
                <w:b/>
                <w:bCs/>
              </w:rPr>
              <w:t>Site</w:t>
            </w:r>
          </w:p>
        </w:tc>
      </w:tr>
      <w:tr w:rsidR="009C2893" w:rsidRPr="00D75195" w14:paraId="36AE435C" w14:textId="77777777" w:rsidTr="009C143B">
        <w:trPr>
          <w:trHeight w:val="579"/>
        </w:trPr>
        <w:tc>
          <w:tcPr>
            <w:tcW w:w="1413" w:type="dxa"/>
            <w:shd w:val="clear" w:color="auto" w:fill="auto"/>
          </w:tcPr>
          <w:p w14:paraId="0F584490" w14:textId="77777777" w:rsidR="009C2893" w:rsidRDefault="009C2893" w:rsidP="006D3A32">
            <w:pPr>
              <w:rPr>
                <w:rFonts w:eastAsia="Times New Roman" w:cs="Times New Roman"/>
                <w:b/>
                <w:bCs/>
                <w:sz w:val="20"/>
                <w:szCs w:val="20"/>
              </w:rPr>
            </w:pPr>
          </w:p>
          <w:p w14:paraId="6BB2C722" w14:textId="3ECA95D0" w:rsidR="002C196B" w:rsidRPr="00D75195" w:rsidRDefault="002C196B" w:rsidP="006D3A32">
            <w:pPr>
              <w:rPr>
                <w:rFonts w:eastAsia="Times New Roman" w:cs="Times New Roman"/>
                <w:b/>
                <w:bCs/>
                <w:sz w:val="20"/>
                <w:szCs w:val="20"/>
              </w:rPr>
            </w:pPr>
            <w:r>
              <w:rPr>
                <w:rFonts w:eastAsia="Times New Roman" w:cs="Times New Roman"/>
                <w:b/>
                <w:bCs/>
                <w:sz w:val="20"/>
                <w:szCs w:val="20"/>
              </w:rPr>
              <w:t>DIETETICS</w:t>
            </w:r>
          </w:p>
        </w:tc>
        <w:tc>
          <w:tcPr>
            <w:tcW w:w="6520" w:type="dxa"/>
            <w:shd w:val="clear" w:color="auto" w:fill="auto"/>
          </w:tcPr>
          <w:p w14:paraId="448E5F5C" w14:textId="536BDE7C" w:rsidR="002C196B" w:rsidRPr="00BC51E6" w:rsidRDefault="002C196B" w:rsidP="00BC51E6">
            <w:pPr>
              <w:rPr>
                <w:rFonts w:asciiTheme="minorHAnsi" w:eastAsia="Times New Roman" w:hAnsiTheme="minorHAnsi" w:cstheme="minorHAnsi"/>
                <w:b/>
                <w:bCs/>
              </w:rPr>
            </w:pPr>
            <w:r w:rsidRPr="002C196B">
              <w:rPr>
                <w:rFonts w:asciiTheme="minorHAnsi" w:eastAsia="Times New Roman" w:hAnsiTheme="minorHAnsi" w:cstheme="minorHAnsi"/>
                <w:b/>
                <w:bCs/>
              </w:rPr>
              <w:t>Nutrition and Dietetics (General Diabetes) - Frimley Health NHS Foundation Trust RDU01</w:t>
            </w:r>
          </w:p>
        </w:tc>
        <w:tc>
          <w:tcPr>
            <w:tcW w:w="1701" w:type="dxa"/>
            <w:shd w:val="clear" w:color="auto" w:fill="auto"/>
          </w:tcPr>
          <w:p w14:paraId="635A2796" w14:textId="77777777" w:rsidR="009C2893" w:rsidRDefault="009C2893" w:rsidP="006D3A32">
            <w:pPr>
              <w:rPr>
                <w:rFonts w:eastAsia="Times New Roman" w:cs="Arial"/>
                <w:b/>
                <w:bCs/>
                <w:sz w:val="20"/>
                <w:szCs w:val="20"/>
              </w:rPr>
            </w:pPr>
          </w:p>
          <w:p w14:paraId="24ED1794" w14:textId="240833BD" w:rsidR="002C196B" w:rsidRPr="00D75195" w:rsidRDefault="002C196B" w:rsidP="006D3A32">
            <w:pPr>
              <w:rPr>
                <w:rFonts w:eastAsia="Times New Roman" w:cs="Arial"/>
                <w:b/>
                <w:bCs/>
                <w:sz w:val="20"/>
                <w:szCs w:val="20"/>
              </w:rPr>
            </w:pPr>
            <w:r>
              <w:rPr>
                <w:rFonts w:eastAsia="Times New Roman" w:cs="Arial"/>
                <w:b/>
                <w:bCs/>
                <w:sz w:val="20"/>
                <w:szCs w:val="20"/>
              </w:rPr>
              <w:t>FRIMLEY PARK HOSPITAL</w:t>
            </w:r>
          </w:p>
        </w:tc>
      </w:tr>
      <w:tr w:rsidR="002C196B" w:rsidRPr="00D75195" w14:paraId="685A28CC" w14:textId="77777777" w:rsidTr="009C143B">
        <w:trPr>
          <w:trHeight w:val="579"/>
        </w:trPr>
        <w:tc>
          <w:tcPr>
            <w:tcW w:w="1413" w:type="dxa"/>
            <w:shd w:val="clear" w:color="auto" w:fill="auto"/>
          </w:tcPr>
          <w:p w14:paraId="4757A754" w14:textId="77777777" w:rsidR="002C196B" w:rsidRDefault="002C196B" w:rsidP="006D3A32">
            <w:pPr>
              <w:rPr>
                <w:rFonts w:eastAsia="Times New Roman" w:cs="Times New Roman"/>
                <w:b/>
                <w:bCs/>
                <w:sz w:val="20"/>
                <w:szCs w:val="20"/>
              </w:rPr>
            </w:pPr>
          </w:p>
          <w:p w14:paraId="65F796FF" w14:textId="17CA21B5" w:rsidR="002C196B" w:rsidRDefault="002C196B" w:rsidP="006D3A32">
            <w:pPr>
              <w:rPr>
                <w:rFonts w:eastAsia="Times New Roman" w:cs="Times New Roman"/>
                <w:b/>
                <w:bCs/>
                <w:sz w:val="20"/>
                <w:szCs w:val="20"/>
              </w:rPr>
            </w:pPr>
            <w:r>
              <w:rPr>
                <w:rFonts w:eastAsia="Times New Roman" w:cs="Times New Roman"/>
                <w:b/>
                <w:bCs/>
                <w:sz w:val="20"/>
                <w:szCs w:val="20"/>
              </w:rPr>
              <w:t>DIETETICS</w:t>
            </w:r>
          </w:p>
        </w:tc>
        <w:tc>
          <w:tcPr>
            <w:tcW w:w="6520" w:type="dxa"/>
            <w:shd w:val="clear" w:color="auto" w:fill="auto"/>
          </w:tcPr>
          <w:p w14:paraId="6668A70D" w14:textId="6192C888" w:rsidR="002C196B" w:rsidRDefault="002C196B" w:rsidP="00BC51E6">
            <w:pPr>
              <w:rPr>
                <w:rFonts w:asciiTheme="minorHAnsi" w:eastAsia="Times New Roman" w:hAnsiTheme="minorHAnsi" w:cstheme="minorHAnsi"/>
                <w:b/>
                <w:bCs/>
              </w:rPr>
            </w:pPr>
            <w:r w:rsidRPr="002C196B">
              <w:rPr>
                <w:rFonts w:asciiTheme="minorHAnsi" w:eastAsia="Times New Roman" w:hAnsiTheme="minorHAnsi" w:cstheme="minorHAnsi"/>
                <w:b/>
                <w:bCs/>
              </w:rPr>
              <w:t>Nutrition and Dietetics (Type 2 Structured education-Desmond) -Frimley Health NHS Trust RDU01</w:t>
            </w:r>
            <w:r w:rsidR="009E7600" w:rsidRPr="00764CFC">
              <w:rPr>
                <w:rFonts w:asciiTheme="minorHAnsi" w:eastAsia="Times New Roman" w:hAnsiTheme="minorHAnsi" w:cstheme="minorHAnsi"/>
                <w:b/>
                <w:bCs/>
                <w:color w:val="00B0F0"/>
              </w:rPr>
              <w:t xml:space="preserve">** </w:t>
            </w:r>
            <w:proofErr w:type="gramStart"/>
            <w:r w:rsidR="009E7600" w:rsidRPr="00764CFC">
              <w:rPr>
                <w:rFonts w:asciiTheme="minorHAnsi" w:eastAsia="Times New Roman" w:hAnsiTheme="minorHAnsi" w:cstheme="minorHAnsi"/>
                <w:b/>
                <w:bCs/>
                <w:color w:val="00B0F0"/>
              </w:rPr>
              <w:t>North East</w:t>
            </w:r>
            <w:proofErr w:type="gramEnd"/>
            <w:r w:rsidR="009E7600" w:rsidRPr="00764CFC">
              <w:rPr>
                <w:rFonts w:asciiTheme="minorHAnsi" w:eastAsia="Times New Roman" w:hAnsiTheme="minorHAnsi" w:cstheme="minorHAnsi"/>
                <w:b/>
                <w:bCs/>
                <w:color w:val="00B0F0"/>
              </w:rPr>
              <w:t xml:space="preserve"> Hants and Farnham only until the 1</w:t>
            </w:r>
            <w:r w:rsidR="009E7600" w:rsidRPr="00764CFC">
              <w:rPr>
                <w:rFonts w:asciiTheme="minorHAnsi" w:eastAsia="Times New Roman" w:hAnsiTheme="minorHAnsi" w:cstheme="minorHAnsi"/>
                <w:b/>
                <w:bCs/>
                <w:color w:val="00B0F0"/>
                <w:vertAlign w:val="superscript"/>
              </w:rPr>
              <w:t>st</w:t>
            </w:r>
            <w:r w:rsidR="009E7600" w:rsidRPr="00764CFC">
              <w:rPr>
                <w:rFonts w:asciiTheme="minorHAnsi" w:eastAsia="Times New Roman" w:hAnsiTheme="minorHAnsi" w:cstheme="minorHAnsi"/>
                <w:b/>
                <w:bCs/>
                <w:color w:val="00B0F0"/>
              </w:rPr>
              <w:t xml:space="preserve"> of April 2023 when this opens to Surrey Heath </w:t>
            </w:r>
          </w:p>
        </w:tc>
        <w:tc>
          <w:tcPr>
            <w:tcW w:w="1701" w:type="dxa"/>
            <w:shd w:val="clear" w:color="auto" w:fill="auto"/>
          </w:tcPr>
          <w:p w14:paraId="0E81AFE9" w14:textId="77777777" w:rsidR="002C196B" w:rsidRDefault="002C196B" w:rsidP="006D3A32">
            <w:pPr>
              <w:rPr>
                <w:rFonts w:eastAsia="Times New Roman" w:cs="Arial"/>
                <w:b/>
                <w:bCs/>
                <w:sz w:val="20"/>
                <w:szCs w:val="20"/>
              </w:rPr>
            </w:pPr>
          </w:p>
          <w:p w14:paraId="57DD8592" w14:textId="0CD482B3" w:rsidR="002C196B" w:rsidRDefault="002C196B" w:rsidP="006D3A32">
            <w:pPr>
              <w:rPr>
                <w:rFonts w:eastAsia="Times New Roman" w:cs="Arial"/>
                <w:b/>
                <w:bCs/>
                <w:sz w:val="20"/>
                <w:szCs w:val="20"/>
              </w:rPr>
            </w:pPr>
            <w:r>
              <w:rPr>
                <w:rFonts w:eastAsia="Times New Roman" w:cs="Arial"/>
                <w:b/>
                <w:bCs/>
                <w:sz w:val="20"/>
                <w:szCs w:val="20"/>
              </w:rPr>
              <w:t>FRIMLEY PARK HOSPITAL</w:t>
            </w:r>
          </w:p>
        </w:tc>
      </w:tr>
      <w:tr w:rsidR="002C196B" w:rsidRPr="00D75195" w14:paraId="2F90DD47" w14:textId="77777777" w:rsidTr="009C143B">
        <w:trPr>
          <w:trHeight w:val="579"/>
        </w:trPr>
        <w:tc>
          <w:tcPr>
            <w:tcW w:w="1413" w:type="dxa"/>
            <w:shd w:val="clear" w:color="auto" w:fill="auto"/>
          </w:tcPr>
          <w:p w14:paraId="1A67B176" w14:textId="77777777" w:rsidR="002C196B" w:rsidRDefault="002C196B" w:rsidP="006D3A32">
            <w:pPr>
              <w:rPr>
                <w:rFonts w:eastAsia="Times New Roman" w:cs="Times New Roman"/>
                <w:b/>
                <w:bCs/>
                <w:sz w:val="20"/>
                <w:szCs w:val="20"/>
              </w:rPr>
            </w:pPr>
          </w:p>
          <w:p w14:paraId="3F8B6C2F" w14:textId="22341A30" w:rsidR="002C196B" w:rsidRDefault="002C196B" w:rsidP="006D3A32">
            <w:pPr>
              <w:rPr>
                <w:rFonts w:eastAsia="Times New Roman" w:cs="Times New Roman"/>
                <w:b/>
                <w:bCs/>
                <w:sz w:val="20"/>
                <w:szCs w:val="20"/>
              </w:rPr>
            </w:pPr>
            <w:r>
              <w:rPr>
                <w:rFonts w:eastAsia="Times New Roman" w:cs="Times New Roman"/>
                <w:b/>
                <w:bCs/>
                <w:sz w:val="20"/>
                <w:szCs w:val="20"/>
              </w:rPr>
              <w:t>DIETETICS</w:t>
            </w:r>
          </w:p>
        </w:tc>
        <w:tc>
          <w:tcPr>
            <w:tcW w:w="6520" w:type="dxa"/>
            <w:shd w:val="clear" w:color="auto" w:fill="auto"/>
          </w:tcPr>
          <w:p w14:paraId="62C225EE" w14:textId="3DBD0C43" w:rsidR="002C196B" w:rsidRDefault="002C196B" w:rsidP="00BC51E6">
            <w:pPr>
              <w:rPr>
                <w:rFonts w:asciiTheme="minorHAnsi" w:eastAsia="Times New Roman" w:hAnsiTheme="minorHAnsi" w:cstheme="minorHAnsi"/>
                <w:b/>
                <w:bCs/>
              </w:rPr>
            </w:pPr>
            <w:r w:rsidRPr="002C196B">
              <w:rPr>
                <w:rFonts w:asciiTheme="minorHAnsi" w:eastAsia="Times New Roman" w:hAnsiTheme="minorHAnsi" w:cstheme="minorHAnsi"/>
                <w:b/>
                <w:bCs/>
              </w:rPr>
              <w:t>Nutrition &amp; Dietetics (Adults &amp; Community) RAS Triage Service Frimley Health Trust RDU01</w:t>
            </w:r>
          </w:p>
        </w:tc>
        <w:tc>
          <w:tcPr>
            <w:tcW w:w="1701" w:type="dxa"/>
            <w:shd w:val="clear" w:color="auto" w:fill="auto"/>
          </w:tcPr>
          <w:p w14:paraId="564DA47A" w14:textId="77777777" w:rsidR="002C196B" w:rsidRDefault="002C196B" w:rsidP="006D3A32">
            <w:pPr>
              <w:rPr>
                <w:rFonts w:eastAsia="Times New Roman" w:cs="Arial"/>
                <w:b/>
                <w:bCs/>
                <w:sz w:val="20"/>
                <w:szCs w:val="20"/>
              </w:rPr>
            </w:pPr>
          </w:p>
          <w:p w14:paraId="4D361A04" w14:textId="5D18AFD7" w:rsidR="002C196B" w:rsidRDefault="002C196B" w:rsidP="006D3A32">
            <w:pPr>
              <w:rPr>
                <w:rFonts w:eastAsia="Times New Roman" w:cs="Arial"/>
                <w:b/>
                <w:bCs/>
                <w:sz w:val="20"/>
                <w:szCs w:val="20"/>
              </w:rPr>
            </w:pPr>
            <w:r>
              <w:rPr>
                <w:rFonts w:eastAsia="Times New Roman" w:cs="Arial"/>
                <w:b/>
                <w:bCs/>
                <w:sz w:val="20"/>
                <w:szCs w:val="20"/>
              </w:rPr>
              <w:t>FRIMLEY PARK HOSPITAL</w:t>
            </w:r>
          </w:p>
        </w:tc>
      </w:tr>
      <w:tr w:rsidR="002C196B" w:rsidRPr="00D75195" w14:paraId="4662F8AC" w14:textId="77777777" w:rsidTr="009C143B">
        <w:trPr>
          <w:trHeight w:val="579"/>
        </w:trPr>
        <w:tc>
          <w:tcPr>
            <w:tcW w:w="1413" w:type="dxa"/>
            <w:shd w:val="clear" w:color="auto" w:fill="auto"/>
          </w:tcPr>
          <w:p w14:paraId="12F59F93" w14:textId="77777777" w:rsidR="002C196B" w:rsidRDefault="002C196B" w:rsidP="006D3A32">
            <w:pPr>
              <w:rPr>
                <w:rFonts w:eastAsia="Times New Roman" w:cs="Times New Roman"/>
                <w:b/>
                <w:bCs/>
                <w:sz w:val="20"/>
                <w:szCs w:val="20"/>
              </w:rPr>
            </w:pPr>
          </w:p>
          <w:p w14:paraId="7158F9DF" w14:textId="468DD6CD" w:rsidR="002C196B" w:rsidRDefault="002C196B" w:rsidP="006D3A32">
            <w:pPr>
              <w:rPr>
                <w:rFonts w:eastAsia="Times New Roman" w:cs="Times New Roman"/>
                <w:b/>
                <w:bCs/>
                <w:sz w:val="20"/>
                <w:szCs w:val="20"/>
              </w:rPr>
            </w:pPr>
            <w:r>
              <w:rPr>
                <w:rFonts w:eastAsia="Times New Roman" w:cs="Times New Roman"/>
                <w:b/>
                <w:bCs/>
                <w:sz w:val="20"/>
                <w:szCs w:val="20"/>
              </w:rPr>
              <w:t>DIETETICS</w:t>
            </w:r>
          </w:p>
        </w:tc>
        <w:tc>
          <w:tcPr>
            <w:tcW w:w="6520" w:type="dxa"/>
            <w:shd w:val="clear" w:color="auto" w:fill="auto"/>
          </w:tcPr>
          <w:p w14:paraId="7D76E5D5" w14:textId="220727B3" w:rsidR="002C196B" w:rsidRDefault="002C196B" w:rsidP="00BC51E6">
            <w:pPr>
              <w:rPr>
                <w:rFonts w:asciiTheme="minorHAnsi" w:eastAsia="Times New Roman" w:hAnsiTheme="minorHAnsi" w:cstheme="minorHAnsi"/>
                <w:b/>
                <w:bCs/>
              </w:rPr>
            </w:pPr>
            <w:r w:rsidRPr="002C196B">
              <w:rPr>
                <w:rFonts w:asciiTheme="minorHAnsi" w:eastAsia="Times New Roman" w:hAnsiTheme="minorHAnsi" w:cstheme="minorHAnsi"/>
                <w:b/>
                <w:bCs/>
              </w:rPr>
              <w:t>Nutrition and Dietetics (Paediatrics) - Frimley Health NHS Foundation Trust RDU01</w:t>
            </w:r>
          </w:p>
        </w:tc>
        <w:tc>
          <w:tcPr>
            <w:tcW w:w="1701" w:type="dxa"/>
            <w:shd w:val="clear" w:color="auto" w:fill="auto"/>
          </w:tcPr>
          <w:p w14:paraId="72D904B7" w14:textId="77777777" w:rsidR="002C196B" w:rsidRDefault="002C196B" w:rsidP="006D3A32">
            <w:pPr>
              <w:rPr>
                <w:rFonts w:eastAsia="Times New Roman" w:cs="Arial"/>
                <w:b/>
                <w:bCs/>
                <w:sz w:val="20"/>
                <w:szCs w:val="20"/>
              </w:rPr>
            </w:pPr>
          </w:p>
          <w:p w14:paraId="555C061A" w14:textId="213EDD90" w:rsidR="002C196B" w:rsidRDefault="002C196B" w:rsidP="006D3A32">
            <w:pPr>
              <w:rPr>
                <w:rFonts w:eastAsia="Times New Roman" w:cs="Arial"/>
                <w:b/>
                <w:bCs/>
                <w:sz w:val="20"/>
                <w:szCs w:val="20"/>
              </w:rPr>
            </w:pPr>
            <w:r>
              <w:rPr>
                <w:rFonts w:eastAsia="Times New Roman" w:cs="Arial"/>
                <w:b/>
                <w:bCs/>
                <w:sz w:val="20"/>
                <w:szCs w:val="20"/>
              </w:rPr>
              <w:t>FRIMLEY PARK HOSPITAL</w:t>
            </w:r>
          </w:p>
        </w:tc>
      </w:tr>
    </w:tbl>
    <w:p w14:paraId="565AFBE9" w14:textId="77777777" w:rsidR="009C2893" w:rsidRDefault="009C2893" w:rsidP="009C2893">
      <w:pPr>
        <w:rPr>
          <w:b/>
          <w:bCs/>
          <w:sz w:val="24"/>
          <w:szCs w:val="24"/>
        </w:rPr>
      </w:pPr>
    </w:p>
    <w:p w14:paraId="7B7EEB2A" w14:textId="3655CC61" w:rsidR="009C2893" w:rsidRDefault="009C2893" w:rsidP="009C2893">
      <w:pPr>
        <w:rPr>
          <w:b/>
          <w:bCs/>
          <w:sz w:val="24"/>
          <w:szCs w:val="24"/>
        </w:rPr>
      </w:pPr>
      <w:r>
        <w:rPr>
          <w:b/>
          <w:bCs/>
          <w:sz w:val="24"/>
          <w:szCs w:val="24"/>
        </w:rPr>
        <w:t xml:space="preserve">Frimley North </w:t>
      </w:r>
      <w:r w:rsidR="00F53681">
        <w:rPr>
          <w:b/>
          <w:bCs/>
          <w:sz w:val="24"/>
          <w:szCs w:val="24"/>
        </w:rPr>
        <w:t xml:space="preserve">– There are no changes to existing pathways </w:t>
      </w:r>
    </w:p>
    <w:p w14:paraId="73093FF8" w14:textId="669E15D9" w:rsidR="00623255" w:rsidRDefault="001F48D3" w:rsidP="00122E7D">
      <w:r w:rsidRPr="00764CFC">
        <w:t>Please direct your referral to</w:t>
      </w:r>
      <w:r w:rsidR="005547A1" w:rsidRPr="00764CFC">
        <w:t xml:space="preserve">: </w:t>
      </w:r>
      <w:r w:rsidRPr="00764CFC">
        <w:t>Berkshire Community team via</w:t>
      </w:r>
      <w:r w:rsidR="00623255">
        <w:t xml:space="preserve">: </w:t>
      </w:r>
    </w:p>
    <w:p w14:paraId="626B955E" w14:textId="59B911CD" w:rsidR="00623255" w:rsidRDefault="00623255" w:rsidP="00122E7D">
      <w:pPr>
        <w:rPr>
          <w:rFonts w:ascii="Arial" w:hAnsi="Arial" w:cs="Arial"/>
        </w:rPr>
      </w:pPr>
      <w:r>
        <w:t>T</w:t>
      </w:r>
      <w:r w:rsidR="001F48D3" w:rsidRPr="00764CFC">
        <w:t xml:space="preserve">he Integrated </w:t>
      </w:r>
      <w:r w:rsidR="00735349">
        <w:t xml:space="preserve">Care </w:t>
      </w:r>
      <w:r w:rsidR="001F48D3" w:rsidRPr="00764CFC">
        <w:t>hub</w:t>
      </w:r>
      <w:r w:rsidR="00764CFC">
        <w:rPr>
          <w:rFonts w:ascii="Arial" w:hAnsi="Arial" w:cs="Arial"/>
        </w:rPr>
        <w:t xml:space="preserve"> </w:t>
      </w:r>
      <w:hyperlink r:id="rId14" w:history="1">
        <w:r w:rsidRPr="00980C3C">
          <w:rPr>
            <w:rStyle w:val="Hyperlink"/>
            <w:rFonts w:asciiTheme="minorHAnsi" w:hAnsiTheme="minorHAnsi" w:cstheme="minorHAnsi"/>
          </w:rPr>
          <w:t>integratedhub@berkshire.nhs.uk</w:t>
        </w:r>
      </w:hyperlink>
      <w:r w:rsidR="001F48D3" w:rsidRPr="007074CA">
        <w:rPr>
          <w:rFonts w:ascii="Arial" w:hAnsi="Arial" w:cs="Arial"/>
        </w:rPr>
        <w:t xml:space="preserve"> </w:t>
      </w:r>
    </w:p>
    <w:p w14:paraId="4F1DE9E5" w14:textId="5624F22D" w:rsidR="00623255" w:rsidRDefault="001F48D3" w:rsidP="00122E7D">
      <w:r w:rsidRPr="00764CFC">
        <w:t xml:space="preserve">or </w:t>
      </w:r>
    </w:p>
    <w:p w14:paraId="766E2211" w14:textId="5B75BE99" w:rsidR="001F48D3" w:rsidRPr="00764CFC" w:rsidRDefault="001F48D3" w:rsidP="00122E7D">
      <w:pPr>
        <w:rPr>
          <w:rFonts w:asciiTheme="minorHAnsi" w:hAnsiTheme="minorHAnsi" w:cstheme="minorHAnsi"/>
        </w:rPr>
      </w:pPr>
      <w:r w:rsidRPr="00764CFC">
        <w:t>Buckinghamshire Community team via</w:t>
      </w:r>
      <w:r w:rsidRPr="007074CA">
        <w:rPr>
          <w:rFonts w:ascii="Arial" w:hAnsi="Arial" w:cs="Arial"/>
        </w:rPr>
        <w:t xml:space="preserve"> </w:t>
      </w:r>
      <w:hyperlink r:id="rId15" w:history="1">
        <w:r w:rsidR="00B9701C" w:rsidRPr="00B9701C">
          <w:rPr>
            <w:rStyle w:val="Hyperlink"/>
            <w:rFonts w:asciiTheme="minorHAnsi" w:hAnsiTheme="minorHAnsi" w:cstheme="minorHAnsi"/>
          </w:rPr>
          <w:t>bht.communitydietitians@nhs.net</w:t>
        </w:r>
      </w:hyperlink>
      <w:r w:rsidRPr="00764CFC">
        <w:rPr>
          <w:rFonts w:asciiTheme="minorHAnsi" w:hAnsiTheme="minorHAnsi" w:cstheme="minorHAnsi"/>
        </w:rPr>
        <w:t xml:space="preserve">. </w:t>
      </w:r>
    </w:p>
    <w:p w14:paraId="46E1A826" w14:textId="77777777" w:rsidR="001F48D3" w:rsidRDefault="001F48D3" w:rsidP="009C2893">
      <w:pPr>
        <w:rPr>
          <w:b/>
          <w:bCs/>
          <w:sz w:val="24"/>
          <w:szCs w:val="24"/>
        </w:rPr>
      </w:pPr>
    </w:p>
    <w:p w14:paraId="2E2A6C36" w14:textId="7DF48C43" w:rsidR="009C2893" w:rsidRDefault="009C2893" w:rsidP="009C2893">
      <w:pPr>
        <w:rPr>
          <w:b/>
          <w:bCs/>
        </w:rPr>
      </w:pPr>
    </w:p>
    <w:p w14:paraId="21603E58" w14:textId="77777777" w:rsidR="00E472B4" w:rsidRDefault="00E472B4" w:rsidP="009C2893">
      <w:pPr>
        <w:rPr>
          <w:b/>
          <w:bCs/>
        </w:rPr>
      </w:pPr>
    </w:p>
    <w:p w14:paraId="6A699BA1" w14:textId="77777777" w:rsidR="00E472B4" w:rsidRDefault="00E472B4" w:rsidP="009C2893">
      <w:pPr>
        <w:rPr>
          <w:b/>
          <w:bCs/>
        </w:rPr>
      </w:pPr>
    </w:p>
    <w:p w14:paraId="7CA85FEB" w14:textId="77777777" w:rsidR="00560EC7" w:rsidRDefault="00560EC7" w:rsidP="00560EC7">
      <w:pPr>
        <w:pStyle w:val="NormalWeb"/>
        <w:shd w:val="clear" w:color="auto" w:fill="FFFFFF"/>
        <w:spacing w:before="0" w:beforeAutospacing="0" w:after="0" w:afterAutospacing="0"/>
        <w:rPr>
          <w:rFonts w:ascii="Calibri" w:hAnsi="Calibri" w:cs="Calibri"/>
          <w:b/>
          <w:bCs/>
          <w:color w:val="000000"/>
          <w:u w:val="single"/>
          <w:shd w:val="clear" w:color="auto" w:fill="FFFFFF"/>
        </w:rPr>
      </w:pPr>
    </w:p>
    <w:p w14:paraId="6274C06B" w14:textId="77777777" w:rsidR="00560EC7" w:rsidRDefault="00560EC7" w:rsidP="00560EC7">
      <w:pPr>
        <w:pStyle w:val="NormalWeb"/>
        <w:shd w:val="clear" w:color="auto" w:fill="FFFFFF"/>
        <w:spacing w:before="0" w:beforeAutospacing="0" w:after="0" w:afterAutospacing="0"/>
        <w:rPr>
          <w:rStyle w:val="Hyperlink"/>
          <w:rFonts w:ascii="Calibri" w:hAnsi="Calibri" w:cs="Calibri"/>
          <w:b/>
          <w:bCs/>
          <w:color w:val="6264A7"/>
        </w:rPr>
      </w:pPr>
      <w:r w:rsidRPr="001D6065">
        <w:rPr>
          <w:rFonts w:ascii="Calibri" w:hAnsi="Calibri" w:cs="Calibri"/>
          <w:b/>
          <w:bCs/>
          <w:color w:val="000000"/>
          <w:u w:val="single"/>
          <w:shd w:val="clear" w:color="auto" w:fill="FFFFFF"/>
        </w:rPr>
        <w:t>Key Pages within the FHFT website (</w:t>
      </w:r>
      <w:r w:rsidRPr="001D6065">
        <w:rPr>
          <w:rFonts w:ascii="Calibri" w:hAnsi="Calibri" w:cs="Calibri"/>
          <w:b/>
          <w:bCs/>
          <w:color w:val="000000"/>
          <w:shd w:val="clear" w:color="auto" w:fill="FFFFFF"/>
        </w:rPr>
        <w:t>GP Centre): </w:t>
      </w:r>
      <w:hyperlink r:id="rId16" w:tgtFrame="_blank" w:tooltip="https://www.fhft.nhs.uk/gpcentre" w:history="1">
        <w:r w:rsidRPr="001D6065">
          <w:rPr>
            <w:rStyle w:val="Hyperlink"/>
            <w:rFonts w:ascii="Calibri" w:hAnsi="Calibri" w:cs="Calibri"/>
            <w:b/>
            <w:bCs/>
            <w:color w:val="6264A7"/>
          </w:rPr>
          <w:t>https://www.fhft.nhs.uk/GPcentre</w:t>
        </w:r>
      </w:hyperlink>
      <w:r w:rsidRPr="001D6065">
        <w:rPr>
          <w:rStyle w:val="Hyperlink"/>
          <w:rFonts w:ascii="Calibri" w:hAnsi="Calibri" w:cs="Calibri"/>
          <w:b/>
          <w:bCs/>
          <w:color w:val="6264A7"/>
        </w:rPr>
        <w:t xml:space="preserve">. </w:t>
      </w:r>
    </w:p>
    <w:p w14:paraId="3406A110" w14:textId="77777777" w:rsidR="00560EC7" w:rsidRDefault="00560EC7" w:rsidP="00560EC7">
      <w:pPr>
        <w:pStyle w:val="NormalWeb"/>
        <w:shd w:val="clear" w:color="auto" w:fill="FFFFFF"/>
        <w:spacing w:before="0" w:beforeAutospacing="0" w:after="0" w:afterAutospacing="0"/>
        <w:rPr>
          <w:rStyle w:val="Hyperlink"/>
          <w:rFonts w:ascii="Calibri" w:hAnsi="Calibri" w:cs="Calibri"/>
          <w:b/>
          <w:bCs/>
          <w:color w:val="6264A7"/>
        </w:rPr>
      </w:pPr>
    </w:p>
    <w:p w14:paraId="7D5DB4A1" w14:textId="77777777" w:rsidR="00560EC7" w:rsidRPr="00203127" w:rsidRDefault="00560EC7" w:rsidP="00560EC7">
      <w:pPr>
        <w:pStyle w:val="NormalWeb"/>
        <w:pBdr>
          <w:top w:val="single" w:sz="4" w:space="1" w:color="auto"/>
          <w:left w:val="single" w:sz="4" w:space="4" w:color="auto"/>
          <w:bottom w:val="single" w:sz="4" w:space="1" w:color="auto"/>
          <w:right w:val="single" w:sz="4" w:space="4" w:color="auto"/>
        </w:pBdr>
        <w:shd w:val="clear" w:color="auto" w:fill="9CC2E5" w:themeFill="accent1" w:themeFillTint="99"/>
        <w:spacing w:before="0" w:beforeAutospacing="0" w:after="0" w:afterAutospacing="0"/>
        <w:rPr>
          <w:rStyle w:val="Hyperlink"/>
          <w:color w:val="auto"/>
          <w:u w:val="none"/>
        </w:rPr>
      </w:pPr>
      <w:r w:rsidRPr="00203127">
        <w:rPr>
          <w:rStyle w:val="Hyperlink"/>
          <w:rFonts w:ascii="Calibri" w:hAnsi="Calibri" w:cs="Calibri"/>
          <w:b/>
          <w:bCs/>
          <w:color w:val="auto"/>
          <w:sz w:val="22"/>
          <w:szCs w:val="22"/>
          <w:u w:val="none"/>
        </w:rPr>
        <w:t>Key pages can also be accessed via the DXS home page and relevant speciality landing pages</w:t>
      </w:r>
    </w:p>
    <w:p w14:paraId="0EE7922E" w14:textId="77777777" w:rsidR="00560EC7" w:rsidRDefault="00560EC7" w:rsidP="00560EC7">
      <w:pPr>
        <w:pStyle w:val="NormalWeb"/>
        <w:shd w:val="clear" w:color="auto" w:fill="FFFFFF"/>
        <w:spacing w:before="0" w:beforeAutospacing="0" w:after="0" w:afterAutospacing="0"/>
        <w:rPr>
          <w:rFonts w:ascii="Calibri" w:hAnsi="Calibri" w:cs="Calibri"/>
          <w:b/>
          <w:bCs/>
          <w:u w:val="single"/>
          <w:shd w:val="clear" w:color="auto" w:fill="FFFFFF"/>
        </w:rPr>
      </w:pPr>
    </w:p>
    <w:p w14:paraId="64DFB4C4" w14:textId="77777777" w:rsidR="00560EC7" w:rsidRDefault="00560EC7" w:rsidP="00560EC7">
      <w:pPr>
        <w:pStyle w:val="paragraph"/>
        <w:numPr>
          <w:ilvl w:val="0"/>
          <w:numId w:val="24"/>
        </w:numPr>
        <w:spacing w:before="0" w:beforeAutospacing="0" w:after="0" w:afterAutospacing="0"/>
        <w:jc w:val="both"/>
        <w:textAlignment w:val="baseline"/>
        <w:rPr>
          <w:rStyle w:val="eop"/>
        </w:rPr>
      </w:pPr>
      <w:r w:rsidRPr="00AA625E">
        <w:rPr>
          <w:rFonts w:asciiTheme="minorHAnsi" w:hAnsiTheme="minorHAnsi" w:cstheme="minorBidi"/>
          <w:b/>
          <w:bCs/>
          <w:sz w:val="24"/>
          <w:szCs w:val="24"/>
          <w:lang w:eastAsia="en-US"/>
        </w:rPr>
        <w:t>Referrals and Key Contacts:</w:t>
      </w:r>
      <w:r>
        <w:rPr>
          <w:rFonts w:asciiTheme="minorHAnsi" w:hAnsiTheme="minorHAnsi" w:cstheme="minorBidi"/>
          <w:b/>
          <w:bCs/>
          <w:sz w:val="24"/>
          <w:szCs w:val="24"/>
          <w:lang w:eastAsia="en-US"/>
        </w:rPr>
        <w:t xml:space="preserve"> </w:t>
      </w:r>
      <w:hyperlink r:id="rId17" w:tgtFrame="_blank" w:history="1">
        <w:r>
          <w:rPr>
            <w:rStyle w:val="normaltextrun"/>
            <w:color w:val="0000FF"/>
            <w:u w:val="single"/>
          </w:rPr>
          <w:t>Referrals &amp; key contacts | NHS Frimley Health Foundation Trust (fhft.nhs.uk)</w:t>
        </w:r>
      </w:hyperlink>
      <w:r>
        <w:rPr>
          <w:rStyle w:val="normaltextrun"/>
          <w:color w:val="0000FF"/>
        </w:rPr>
        <w:t xml:space="preserve"> - </w:t>
      </w:r>
      <w:r>
        <w:rPr>
          <w:rStyle w:val="normaltextrun"/>
          <w:color w:val="000000"/>
          <w:shd w:val="clear" w:color="auto" w:fill="FFFFFF"/>
        </w:rPr>
        <w:t xml:space="preserve"> In this section you can find admin e-mail addresses and other key contacts etc., plus details on what to do when expediting a referrals, non </w:t>
      </w:r>
      <w:proofErr w:type="spellStart"/>
      <w:r>
        <w:rPr>
          <w:rStyle w:val="normaltextrun"/>
          <w:color w:val="000000"/>
          <w:shd w:val="clear" w:color="auto" w:fill="FFFFFF"/>
        </w:rPr>
        <w:t>eRS</w:t>
      </w:r>
      <w:proofErr w:type="spellEnd"/>
      <w:r>
        <w:rPr>
          <w:rStyle w:val="normaltextrun"/>
          <w:color w:val="000000"/>
          <w:shd w:val="clear" w:color="auto" w:fill="FFFFFF"/>
        </w:rPr>
        <w:t xml:space="preserve"> referrals and details/guidelines on 2WW referrals for those practices who do not have DXS.</w:t>
      </w:r>
      <w:r>
        <w:rPr>
          <w:rStyle w:val="normaltextrun"/>
          <w:color w:val="0000FF"/>
        </w:rPr>
        <w:t xml:space="preserve"> </w:t>
      </w:r>
    </w:p>
    <w:p w14:paraId="7526BD09" w14:textId="77777777" w:rsidR="00560EC7" w:rsidRPr="00203127" w:rsidRDefault="00560EC7" w:rsidP="00560EC7">
      <w:pPr>
        <w:pStyle w:val="ListParagraph"/>
        <w:numPr>
          <w:ilvl w:val="0"/>
          <w:numId w:val="24"/>
        </w:numPr>
        <w:shd w:val="clear" w:color="auto" w:fill="FFFFFF"/>
        <w:spacing w:before="100" w:beforeAutospacing="1" w:after="100" w:afterAutospacing="1"/>
        <w:rPr>
          <w:rStyle w:val="normaltextrun"/>
          <w:rFonts w:ascii="Calibri" w:hAnsi="Calibri" w:cs="Calibri"/>
          <w:color w:val="0000FF"/>
          <w:u w:val="single"/>
          <w:lang w:eastAsia="en-GB"/>
        </w:rPr>
      </w:pPr>
      <w:r w:rsidRPr="001F2279">
        <w:rPr>
          <w:b/>
          <w:bCs/>
          <w:color w:val="000000"/>
          <w:sz w:val="24"/>
          <w:szCs w:val="24"/>
          <w:shd w:val="clear" w:color="auto" w:fill="FFFFFF"/>
        </w:rPr>
        <w:t>Urgent Advice Service Directory:</w:t>
      </w:r>
      <w:r w:rsidRPr="001F2279">
        <w:rPr>
          <w:color w:val="000000"/>
          <w:sz w:val="24"/>
          <w:szCs w:val="24"/>
          <w:shd w:val="clear" w:color="auto" w:fill="FFFFFF"/>
        </w:rPr>
        <w:t> </w:t>
      </w:r>
      <w:hyperlink r:id="rId18" w:tgtFrame="_blank" w:tooltip="https://www.fhft.nhs.uk/gps/gp-centre/urgent-advice/" w:history="1">
        <w:r w:rsidRPr="00203127">
          <w:rPr>
            <w:rStyle w:val="normaltextrun"/>
            <w:rFonts w:ascii="Calibri" w:hAnsi="Calibri" w:cs="Calibri"/>
            <w:color w:val="0000FF"/>
            <w:lang w:eastAsia="en-GB"/>
          </w:rPr>
          <w:t>https://www.fhft.nhs.uk/gps/gp-centre/urgent-advice/</w:t>
        </w:r>
      </w:hyperlink>
    </w:p>
    <w:p w14:paraId="6A2EE972" w14:textId="77777777" w:rsidR="00560EC7" w:rsidRPr="00203127" w:rsidRDefault="00560EC7" w:rsidP="00560EC7">
      <w:pPr>
        <w:pStyle w:val="ListParagraph"/>
        <w:numPr>
          <w:ilvl w:val="0"/>
          <w:numId w:val="24"/>
        </w:numPr>
        <w:shd w:val="clear" w:color="auto" w:fill="FFFFFF"/>
        <w:spacing w:before="100" w:beforeAutospacing="1" w:after="100" w:afterAutospacing="1"/>
        <w:rPr>
          <w:rStyle w:val="normaltextrun"/>
          <w:rFonts w:ascii="Calibri" w:hAnsi="Calibri" w:cs="Calibri"/>
          <w:color w:val="0000FF"/>
          <w:u w:val="single"/>
          <w:lang w:eastAsia="en-GB"/>
        </w:rPr>
      </w:pPr>
      <w:r w:rsidRPr="001F2279">
        <w:rPr>
          <w:b/>
          <w:bCs/>
          <w:color w:val="000000"/>
          <w:sz w:val="24"/>
          <w:szCs w:val="24"/>
          <w:shd w:val="clear" w:color="auto" w:fill="FFFFFF"/>
        </w:rPr>
        <w:t>Routine Advice Service Directory:</w:t>
      </w:r>
      <w:r w:rsidRPr="001F2279">
        <w:rPr>
          <w:color w:val="000000"/>
          <w:shd w:val="clear" w:color="auto" w:fill="FFFFFF"/>
        </w:rPr>
        <w:t> </w:t>
      </w:r>
      <w:hyperlink r:id="rId19" w:tgtFrame="_blank" w:tooltip="https://www.fhft.nhs.uk/gps/gp-centre/routine-advice/" w:history="1">
        <w:r w:rsidRPr="00203127">
          <w:rPr>
            <w:rStyle w:val="normaltextrun"/>
            <w:rFonts w:ascii="Calibri" w:hAnsi="Calibri" w:cs="Calibri"/>
            <w:color w:val="0000FF"/>
            <w:lang w:eastAsia="en-GB"/>
          </w:rPr>
          <w:t>https://www.fhft.nhs.uk/gps/gp-centre/routine-advice/</w:t>
        </w:r>
      </w:hyperlink>
    </w:p>
    <w:p w14:paraId="24BE98E7" w14:textId="77777777" w:rsidR="00560EC7" w:rsidRPr="00203127" w:rsidRDefault="00560EC7" w:rsidP="00560EC7">
      <w:pPr>
        <w:pStyle w:val="ListParagraph"/>
        <w:numPr>
          <w:ilvl w:val="0"/>
          <w:numId w:val="24"/>
        </w:numPr>
        <w:shd w:val="clear" w:color="auto" w:fill="FFFFFF"/>
        <w:spacing w:before="100" w:beforeAutospacing="1" w:after="100" w:afterAutospacing="1"/>
        <w:rPr>
          <w:rStyle w:val="normaltextrun"/>
          <w:rFonts w:ascii="Calibri" w:hAnsi="Calibri" w:cs="Calibri"/>
          <w:color w:val="0000FF"/>
          <w:lang w:eastAsia="en-GB"/>
        </w:rPr>
      </w:pPr>
      <w:r w:rsidRPr="001F2279">
        <w:rPr>
          <w:b/>
          <w:bCs/>
          <w:color w:val="000000"/>
          <w:sz w:val="24"/>
          <w:szCs w:val="24"/>
          <w:shd w:val="clear" w:color="auto" w:fill="FFFFFF"/>
        </w:rPr>
        <w:t>SDEC Service Directory (including the Ambulatory Emergency Care Unit):</w:t>
      </w:r>
      <w:r w:rsidRPr="001F2279">
        <w:rPr>
          <w:color w:val="000000"/>
          <w:sz w:val="24"/>
          <w:szCs w:val="24"/>
          <w:shd w:val="clear" w:color="auto" w:fill="FFFFFF"/>
        </w:rPr>
        <w:t> </w:t>
      </w:r>
      <w:hyperlink r:id="rId20" w:tgtFrame="_blank" w:tooltip="https://www.fhft.nhs.uk/gps/gp-centre/sdec-including-ambulatory-care/" w:history="1">
        <w:r w:rsidRPr="00203127">
          <w:rPr>
            <w:rStyle w:val="normaltextrun"/>
            <w:rFonts w:ascii="Calibri" w:hAnsi="Calibri" w:cs="Calibri"/>
            <w:color w:val="0000FF"/>
            <w:lang w:eastAsia="en-GB"/>
          </w:rPr>
          <w:t>https://www.fhft.nhs.uk/gps/gp-centre/sdec-including-ambulatory-care/</w:t>
        </w:r>
      </w:hyperlink>
    </w:p>
    <w:p w14:paraId="3EFC8B44" w14:textId="77777777" w:rsidR="00560EC7" w:rsidRPr="00203127" w:rsidRDefault="00560EC7" w:rsidP="00560EC7">
      <w:pPr>
        <w:pStyle w:val="ListParagraph"/>
        <w:numPr>
          <w:ilvl w:val="0"/>
          <w:numId w:val="24"/>
        </w:numPr>
        <w:shd w:val="clear" w:color="auto" w:fill="FFFFFF"/>
        <w:spacing w:before="100" w:beforeAutospacing="1" w:after="100" w:afterAutospacing="1"/>
      </w:pPr>
      <w:r w:rsidRPr="00323126">
        <w:rPr>
          <w:b/>
          <w:bCs/>
          <w:color w:val="000000"/>
          <w:sz w:val="24"/>
          <w:szCs w:val="24"/>
          <w:shd w:val="clear" w:color="auto" w:fill="FFFFFF"/>
        </w:rPr>
        <w:t>News and Interface Developments:  </w:t>
      </w:r>
      <w:hyperlink r:id="rId21" w:history="1">
        <w:r w:rsidRPr="00323126">
          <w:rPr>
            <w:rStyle w:val="normaltextrun"/>
            <w:rFonts w:ascii="Calibri" w:hAnsi="Calibri" w:cs="Calibri"/>
            <w:color w:val="0000FF"/>
            <w:lang w:eastAsia="en-GB"/>
          </w:rPr>
          <w:t>News and interface developments | NHS Frimley Health Foundation Trust (fhft.nhs.uk)</w:t>
        </w:r>
      </w:hyperlink>
      <w:r w:rsidRPr="00323126">
        <w:rPr>
          <w:rStyle w:val="normaltextrun"/>
          <w:rFonts w:ascii="Calibri" w:hAnsi="Calibri" w:cs="Calibri"/>
          <w:color w:val="0000FF"/>
          <w:lang w:eastAsia="en-GB"/>
        </w:rPr>
        <w:t>–</w:t>
      </w:r>
      <w:r w:rsidRPr="00323126">
        <w:rPr>
          <w:b/>
          <w:bCs/>
          <w:color w:val="000000"/>
          <w:sz w:val="24"/>
          <w:szCs w:val="24"/>
          <w:shd w:val="clear" w:color="auto" w:fill="FFFFFF"/>
        </w:rPr>
        <w:t xml:space="preserve"> </w:t>
      </w:r>
      <w:r w:rsidRPr="00323126">
        <w:rPr>
          <w:rFonts w:ascii="Calibri" w:hAnsi="Calibri" w:cs="Calibri"/>
        </w:rPr>
        <w:t xml:space="preserve">You can find full details and recent editions of our </w:t>
      </w:r>
      <w:r w:rsidRPr="00323126">
        <w:rPr>
          <w:rFonts w:ascii="Calibri" w:hAnsi="Calibri" w:cs="Calibri"/>
          <w:b/>
          <w:bCs/>
        </w:rPr>
        <w:t>'You Said, We Did'</w:t>
      </w:r>
      <w:r w:rsidRPr="00323126">
        <w:rPr>
          <w:rFonts w:ascii="Calibri" w:hAnsi="Calibri" w:cs="Calibri"/>
        </w:rPr>
        <w:t xml:space="preserve"> bulletin outlining some of the thematic issues we have received and how processes have been improved, along with updates regarding the new </w:t>
      </w:r>
      <w:proofErr w:type="spellStart"/>
      <w:r w:rsidRPr="00323126">
        <w:rPr>
          <w:rFonts w:ascii="Calibri" w:hAnsi="Calibri" w:cs="Calibri"/>
        </w:rPr>
        <w:t>Heatherwood</w:t>
      </w:r>
      <w:proofErr w:type="spellEnd"/>
      <w:r w:rsidRPr="00323126">
        <w:rPr>
          <w:rFonts w:ascii="Calibri" w:hAnsi="Calibri" w:cs="Calibri"/>
        </w:rPr>
        <w:t xml:space="preserve"> Hospital and the updated Clinical Feedback Concerns process with flow chart.  </w:t>
      </w:r>
    </w:p>
    <w:p w14:paraId="753F2F5F" w14:textId="488175B9" w:rsidR="001F2279" w:rsidRPr="00874EF7" w:rsidRDefault="001F2279" w:rsidP="00E4539E">
      <w:pPr>
        <w:pStyle w:val="ListParagraph"/>
        <w:shd w:val="clear" w:color="auto" w:fill="FFFFFF"/>
        <w:spacing w:before="100" w:beforeAutospacing="1" w:after="100" w:afterAutospacing="1"/>
        <w:ind w:left="1080"/>
        <w:rPr>
          <w:b/>
          <w:bCs/>
          <w:sz w:val="24"/>
          <w:szCs w:val="24"/>
          <w:u w:val="single"/>
        </w:rPr>
      </w:pPr>
    </w:p>
    <w:sectPr w:rsidR="001F2279" w:rsidRPr="00874EF7">
      <w:head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3CD407" w14:textId="77777777" w:rsidR="004D7F04" w:rsidRDefault="004D7F04" w:rsidP="007B0512">
      <w:r>
        <w:separator/>
      </w:r>
    </w:p>
  </w:endnote>
  <w:endnote w:type="continuationSeparator" w:id="0">
    <w:p w14:paraId="4BDFF445" w14:textId="77777777" w:rsidR="004D7F04" w:rsidRDefault="004D7F04" w:rsidP="007B05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C58C50" w14:textId="77777777" w:rsidR="004D7F04" w:rsidRDefault="004D7F04" w:rsidP="007B0512">
      <w:r>
        <w:separator/>
      </w:r>
    </w:p>
  </w:footnote>
  <w:footnote w:type="continuationSeparator" w:id="0">
    <w:p w14:paraId="603A5598" w14:textId="77777777" w:rsidR="004D7F04" w:rsidRDefault="004D7F04" w:rsidP="007B05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82211B" w14:textId="77777777" w:rsidR="000F04EE" w:rsidRDefault="004C083E" w:rsidP="007B0512">
    <w:pPr>
      <w:pStyle w:val="Header"/>
      <w:tabs>
        <w:tab w:val="clear" w:pos="4513"/>
        <w:tab w:val="clear" w:pos="9026"/>
        <w:tab w:val="left" w:pos="2565"/>
      </w:tabs>
    </w:pPr>
    <w:r>
      <w:rPr>
        <w:noProof/>
        <w:lang w:eastAsia="en-GB"/>
      </w:rPr>
      <w:drawing>
        <wp:anchor distT="0" distB="0" distL="114300" distR="114300" simplePos="0" relativeHeight="251661312" behindDoc="0" locked="0" layoutInCell="1" allowOverlap="1" wp14:anchorId="0FA3E5B8" wp14:editId="1DB071C7">
          <wp:simplePos x="0" y="0"/>
          <wp:positionH relativeFrom="column">
            <wp:posOffset>-526694</wp:posOffset>
          </wp:positionH>
          <wp:positionV relativeFrom="paragraph">
            <wp:posOffset>-130277</wp:posOffset>
          </wp:positionV>
          <wp:extent cx="2020570" cy="490220"/>
          <wp:effectExtent l="0" t="0" r="0" b="5080"/>
          <wp:wrapSquare wrapText="bothSides"/>
          <wp:docPr id="3" name="Picture 3" descr="frimley_logo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imley_logo_smal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0570" cy="490220"/>
                  </a:xfrm>
                  <a:prstGeom prst="rect">
                    <a:avLst/>
                  </a:prstGeom>
                  <a:noFill/>
                  <a:ln>
                    <a:noFill/>
                  </a:ln>
                </pic:spPr>
              </pic:pic>
            </a:graphicData>
          </a:graphic>
          <wp14:sizeRelH relativeFrom="page">
            <wp14:pctWidth>0</wp14:pctWidth>
          </wp14:sizeRelH>
          <wp14:sizeRelV relativeFrom="page">
            <wp14:pctHeight>0</wp14:pctHeight>
          </wp14:sizeRelV>
        </wp:anchor>
      </w:drawing>
    </w:r>
    <w:r w:rsidR="000F04EE">
      <w:rPr>
        <w:noProof/>
        <w:lang w:eastAsia="en-GB"/>
      </w:rPr>
      <w:drawing>
        <wp:anchor distT="0" distB="0" distL="114300" distR="114300" simplePos="0" relativeHeight="251658240" behindDoc="1" locked="0" layoutInCell="1" allowOverlap="1" wp14:anchorId="1509A009" wp14:editId="2D4D2A59">
          <wp:simplePos x="0" y="0"/>
          <wp:positionH relativeFrom="column">
            <wp:posOffset>4248150</wp:posOffset>
          </wp:positionH>
          <wp:positionV relativeFrom="paragraph">
            <wp:posOffset>-154305</wp:posOffset>
          </wp:positionV>
          <wp:extent cx="1981200" cy="538966"/>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 cstate="print">
                    <a:extLst>
                      <a:ext uri="{28A0092B-C50C-407E-A947-70E740481C1C}">
                        <a14:useLocalDpi xmlns:a14="http://schemas.microsoft.com/office/drawing/2010/main" val="0"/>
                      </a:ext>
                    </a:extLst>
                  </a:blip>
                  <a:srcRect l="4213" t="28670" r="23062" b="36143"/>
                  <a:stretch/>
                </pic:blipFill>
                <pic:spPr bwMode="auto">
                  <a:xfrm>
                    <a:off x="0" y="0"/>
                    <a:ext cx="1981200" cy="5389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F04EE">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709D8"/>
    <w:multiLevelType w:val="multilevel"/>
    <w:tmpl w:val="974E27FA"/>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15D705E"/>
    <w:multiLevelType w:val="hybridMultilevel"/>
    <w:tmpl w:val="D3E2FD3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2B61FA4"/>
    <w:multiLevelType w:val="hybridMultilevel"/>
    <w:tmpl w:val="CE146D3E"/>
    <w:lvl w:ilvl="0" w:tplc="3B742278">
      <w:start w:val="1"/>
      <w:numFmt w:val="decimal"/>
      <w:lvlText w:val="%1."/>
      <w:lvlJc w:val="left"/>
      <w:pPr>
        <w:ind w:left="720" w:hanging="360"/>
      </w:pPr>
      <w:rPr>
        <w:rFonts w:hint="default"/>
        <w:b/>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766FB2"/>
    <w:multiLevelType w:val="hybridMultilevel"/>
    <w:tmpl w:val="8EE0A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070CA"/>
    <w:multiLevelType w:val="multilevel"/>
    <w:tmpl w:val="AF32C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A36635"/>
    <w:multiLevelType w:val="hybridMultilevel"/>
    <w:tmpl w:val="8ED63B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BDC0E2C"/>
    <w:multiLevelType w:val="hybridMultilevel"/>
    <w:tmpl w:val="7E8C3316"/>
    <w:lvl w:ilvl="0" w:tplc="5B262204">
      <w:start w:val="1"/>
      <w:numFmt w:val="decimal"/>
      <w:lvlText w:val="%1."/>
      <w:lvlJc w:val="left"/>
      <w:pPr>
        <w:ind w:left="405" w:hanging="360"/>
      </w:pPr>
      <w:rPr>
        <w:rFonts w:hint="default"/>
      </w:rPr>
    </w:lvl>
    <w:lvl w:ilvl="1" w:tplc="08090019" w:tentative="1">
      <w:start w:val="1"/>
      <w:numFmt w:val="lowerLetter"/>
      <w:lvlText w:val="%2."/>
      <w:lvlJc w:val="left"/>
      <w:pPr>
        <w:ind w:left="1125" w:hanging="360"/>
      </w:pPr>
    </w:lvl>
    <w:lvl w:ilvl="2" w:tplc="0809001B" w:tentative="1">
      <w:start w:val="1"/>
      <w:numFmt w:val="lowerRoman"/>
      <w:lvlText w:val="%3."/>
      <w:lvlJc w:val="right"/>
      <w:pPr>
        <w:ind w:left="1845" w:hanging="180"/>
      </w:pPr>
    </w:lvl>
    <w:lvl w:ilvl="3" w:tplc="0809000F" w:tentative="1">
      <w:start w:val="1"/>
      <w:numFmt w:val="decimal"/>
      <w:lvlText w:val="%4."/>
      <w:lvlJc w:val="left"/>
      <w:pPr>
        <w:ind w:left="2565" w:hanging="360"/>
      </w:pPr>
    </w:lvl>
    <w:lvl w:ilvl="4" w:tplc="08090019" w:tentative="1">
      <w:start w:val="1"/>
      <w:numFmt w:val="lowerLetter"/>
      <w:lvlText w:val="%5."/>
      <w:lvlJc w:val="left"/>
      <w:pPr>
        <w:ind w:left="3285" w:hanging="360"/>
      </w:pPr>
    </w:lvl>
    <w:lvl w:ilvl="5" w:tplc="0809001B" w:tentative="1">
      <w:start w:val="1"/>
      <w:numFmt w:val="lowerRoman"/>
      <w:lvlText w:val="%6."/>
      <w:lvlJc w:val="right"/>
      <w:pPr>
        <w:ind w:left="4005" w:hanging="180"/>
      </w:pPr>
    </w:lvl>
    <w:lvl w:ilvl="6" w:tplc="0809000F" w:tentative="1">
      <w:start w:val="1"/>
      <w:numFmt w:val="decimal"/>
      <w:lvlText w:val="%7."/>
      <w:lvlJc w:val="left"/>
      <w:pPr>
        <w:ind w:left="4725" w:hanging="360"/>
      </w:pPr>
    </w:lvl>
    <w:lvl w:ilvl="7" w:tplc="08090019" w:tentative="1">
      <w:start w:val="1"/>
      <w:numFmt w:val="lowerLetter"/>
      <w:lvlText w:val="%8."/>
      <w:lvlJc w:val="left"/>
      <w:pPr>
        <w:ind w:left="5445" w:hanging="360"/>
      </w:pPr>
    </w:lvl>
    <w:lvl w:ilvl="8" w:tplc="0809001B" w:tentative="1">
      <w:start w:val="1"/>
      <w:numFmt w:val="lowerRoman"/>
      <w:lvlText w:val="%9."/>
      <w:lvlJc w:val="right"/>
      <w:pPr>
        <w:ind w:left="6165" w:hanging="180"/>
      </w:pPr>
    </w:lvl>
  </w:abstractNum>
  <w:abstractNum w:abstractNumId="7" w15:restartNumberingAfterBreak="0">
    <w:nsid w:val="1DF03996"/>
    <w:multiLevelType w:val="hybridMultilevel"/>
    <w:tmpl w:val="BC4C56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16478B"/>
    <w:multiLevelType w:val="hybridMultilevel"/>
    <w:tmpl w:val="776CFEB2"/>
    <w:lvl w:ilvl="0" w:tplc="26A29466">
      <w:start w:val="1"/>
      <w:numFmt w:val="bullet"/>
      <w:lvlText w:val=""/>
      <w:lvlJc w:val="left"/>
      <w:pPr>
        <w:ind w:left="720" w:hanging="360"/>
      </w:pPr>
      <w:rPr>
        <w:rFonts w:ascii="Symbol" w:eastAsiaTheme="minorHAnsi" w:hAnsi="Symbol" w:cstheme="minorHAnsi" w:hint="default"/>
        <w:b/>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CD16D6"/>
    <w:multiLevelType w:val="multilevel"/>
    <w:tmpl w:val="656C63BC"/>
    <w:lvl w:ilvl="0">
      <w:start w:val="1"/>
      <w:numFmt w:val="decimal"/>
      <w:lvlText w:val="%1."/>
      <w:lvlJc w:val="left"/>
      <w:pPr>
        <w:tabs>
          <w:tab w:val="num" w:pos="4320"/>
        </w:tabs>
        <w:ind w:left="4320" w:hanging="360"/>
      </w:pPr>
    </w:lvl>
    <w:lvl w:ilvl="1">
      <w:start w:val="1"/>
      <w:numFmt w:val="decimal"/>
      <w:lvlText w:val="%2."/>
      <w:lvlJc w:val="left"/>
      <w:pPr>
        <w:tabs>
          <w:tab w:val="num" w:pos="5040"/>
        </w:tabs>
        <w:ind w:left="5040" w:hanging="360"/>
      </w:pPr>
    </w:lvl>
    <w:lvl w:ilvl="2">
      <w:start w:val="1"/>
      <w:numFmt w:val="decimal"/>
      <w:lvlText w:val="%3."/>
      <w:lvlJc w:val="left"/>
      <w:pPr>
        <w:tabs>
          <w:tab w:val="num" w:pos="5760"/>
        </w:tabs>
        <w:ind w:left="5760" w:hanging="360"/>
      </w:pPr>
    </w:lvl>
    <w:lvl w:ilvl="3">
      <w:start w:val="1"/>
      <w:numFmt w:val="decimal"/>
      <w:lvlText w:val="%4."/>
      <w:lvlJc w:val="left"/>
      <w:pPr>
        <w:tabs>
          <w:tab w:val="num" w:pos="6480"/>
        </w:tabs>
        <w:ind w:left="6480" w:hanging="360"/>
      </w:pPr>
    </w:lvl>
    <w:lvl w:ilvl="4">
      <w:start w:val="1"/>
      <w:numFmt w:val="decimal"/>
      <w:lvlText w:val="%5."/>
      <w:lvlJc w:val="left"/>
      <w:pPr>
        <w:tabs>
          <w:tab w:val="num" w:pos="7200"/>
        </w:tabs>
        <w:ind w:left="7200" w:hanging="360"/>
      </w:pPr>
    </w:lvl>
    <w:lvl w:ilvl="5">
      <w:start w:val="1"/>
      <w:numFmt w:val="decimal"/>
      <w:lvlText w:val="%6."/>
      <w:lvlJc w:val="left"/>
      <w:pPr>
        <w:tabs>
          <w:tab w:val="num" w:pos="7920"/>
        </w:tabs>
        <w:ind w:left="7920" w:hanging="360"/>
      </w:pPr>
    </w:lvl>
    <w:lvl w:ilvl="6">
      <w:start w:val="1"/>
      <w:numFmt w:val="decimal"/>
      <w:lvlText w:val="%7."/>
      <w:lvlJc w:val="left"/>
      <w:pPr>
        <w:tabs>
          <w:tab w:val="num" w:pos="8640"/>
        </w:tabs>
        <w:ind w:left="8640" w:hanging="360"/>
      </w:pPr>
    </w:lvl>
    <w:lvl w:ilvl="7">
      <w:start w:val="1"/>
      <w:numFmt w:val="decimal"/>
      <w:lvlText w:val="%8."/>
      <w:lvlJc w:val="left"/>
      <w:pPr>
        <w:tabs>
          <w:tab w:val="num" w:pos="9360"/>
        </w:tabs>
        <w:ind w:left="9360" w:hanging="360"/>
      </w:pPr>
    </w:lvl>
    <w:lvl w:ilvl="8">
      <w:start w:val="1"/>
      <w:numFmt w:val="decimal"/>
      <w:lvlText w:val="%9."/>
      <w:lvlJc w:val="left"/>
      <w:pPr>
        <w:tabs>
          <w:tab w:val="num" w:pos="10080"/>
        </w:tabs>
        <w:ind w:left="10080" w:hanging="360"/>
      </w:pPr>
    </w:lvl>
  </w:abstractNum>
  <w:abstractNum w:abstractNumId="10" w15:restartNumberingAfterBreak="0">
    <w:nsid w:val="220D7320"/>
    <w:multiLevelType w:val="hybridMultilevel"/>
    <w:tmpl w:val="5B7C369C"/>
    <w:lvl w:ilvl="0" w:tplc="5CE07B66">
      <w:start w:val="4"/>
      <w:numFmt w:val="decimal"/>
      <w:lvlText w:val="%1."/>
      <w:lvlJc w:val="left"/>
      <w:pPr>
        <w:ind w:left="360" w:hanging="360"/>
      </w:pPr>
      <w:rPr>
        <w:rFonts w:hint="default"/>
        <w:b/>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2A4839D9"/>
    <w:multiLevelType w:val="hybridMultilevel"/>
    <w:tmpl w:val="020497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A0258C"/>
    <w:multiLevelType w:val="multilevel"/>
    <w:tmpl w:val="33CEF76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32912DDC"/>
    <w:multiLevelType w:val="hybridMultilevel"/>
    <w:tmpl w:val="23A84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CC0B62"/>
    <w:multiLevelType w:val="hybridMultilevel"/>
    <w:tmpl w:val="C444DC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6C77917"/>
    <w:multiLevelType w:val="hybridMultilevel"/>
    <w:tmpl w:val="0DA283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128364D"/>
    <w:multiLevelType w:val="hybridMultilevel"/>
    <w:tmpl w:val="B6A2DEEC"/>
    <w:lvl w:ilvl="0" w:tplc="08090015">
      <w:start w:val="1"/>
      <w:numFmt w:val="upp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537204EC"/>
    <w:multiLevelType w:val="hybridMultilevel"/>
    <w:tmpl w:val="1C181E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9335DA"/>
    <w:multiLevelType w:val="multilevel"/>
    <w:tmpl w:val="64CC7E9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679A4F47"/>
    <w:multiLevelType w:val="multilevel"/>
    <w:tmpl w:val="2D06B9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D0369F7"/>
    <w:multiLevelType w:val="hybridMultilevel"/>
    <w:tmpl w:val="024C83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D454B0E"/>
    <w:multiLevelType w:val="multilevel"/>
    <w:tmpl w:val="434AD8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6FEB5B09"/>
    <w:multiLevelType w:val="hybridMultilevel"/>
    <w:tmpl w:val="4A3A1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460CA6"/>
    <w:multiLevelType w:val="multilevel"/>
    <w:tmpl w:val="C65AE2F2"/>
    <w:lvl w:ilvl="0">
      <w:start w:val="1"/>
      <w:numFmt w:val="upperLetter"/>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upperLetter"/>
      <w:lvlText w:val="%3."/>
      <w:lvlJc w:val="left"/>
      <w:pPr>
        <w:tabs>
          <w:tab w:val="num" w:pos="2160"/>
        </w:tabs>
        <w:ind w:left="2160" w:hanging="360"/>
      </w:pPr>
    </w:lvl>
    <w:lvl w:ilvl="3">
      <w:start w:val="1"/>
      <w:numFmt w:val="upperLetter"/>
      <w:lvlText w:val="%4."/>
      <w:lvlJc w:val="left"/>
      <w:pPr>
        <w:tabs>
          <w:tab w:val="num" w:pos="2880"/>
        </w:tabs>
        <w:ind w:left="2880" w:hanging="360"/>
      </w:pPr>
    </w:lvl>
    <w:lvl w:ilvl="4">
      <w:start w:val="1"/>
      <w:numFmt w:val="upperLetter"/>
      <w:lvlText w:val="%5."/>
      <w:lvlJc w:val="left"/>
      <w:pPr>
        <w:tabs>
          <w:tab w:val="num" w:pos="3600"/>
        </w:tabs>
        <w:ind w:left="3600" w:hanging="360"/>
      </w:pPr>
    </w:lvl>
    <w:lvl w:ilvl="5">
      <w:start w:val="1"/>
      <w:numFmt w:val="upperLetter"/>
      <w:lvlText w:val="%6."/>
      <w:lvlJc w:val="left"/>
      <w:pPr>
        <w:tabs>
          <w:tab w:val="num" w:pos="4320"/>
        </w:tabs>
        <w:ind w:left="4320" w:hanging="360"/>
      </w:pPr>
    </w:lvl>
    <w:lvl w:ilvl="6">
      <w:start w:val="1"/>
      <w:numFmt w:val="upperLetter"/>
      <w:lvlText w:val="%7."/>
      <w:lvlJc w:val="left"/>
      <w:pPr>
        <w:tabs>
          <w:tab w:val="num" w:pos="5040"/>
        </w:tabs>
        <w:ind w:left="5040" w:hanging="360"/>
      </w:pPr>
    </w:lvl>
    <w:lvl w:ilvl="7">
      <w:start w:val="1"/>
      <w:numFmt w:val="upperLetter"/>
      <w:lvlText w:val="%8."/>
      <w:lvlJc w:val="left"/>
      <w:pPr>
        <w:tabs>
          <w:tab w:val="num" w:pos="5760"/>
        </w:tabs>
        <w:ind w:left="5760" w:hanging="360"/>
      </w:pPr>
    </w:lvl>
    <w:lvl w:ilvl="8">
      <w:start w:val="1"/>
      <w:numFmt w:val="upperLetter"/>
      <w:lvlText w:val="%9."/>
      <w:lvlJc w:val="left"/>
      <w:pPr>
        <w:tabs>
          <w:tab w:val="num" w:pos="6480"/>
        </w:tabs>
        <w:ind w:left="6480" w:hanging="360"/>
      </w:pPr>
    </w:lvl>
  </w:abstractNum>
  <w:abstractNum w:abstractNumId="24" w15:restartNumberingAfterBreak="0">
    <w:nsid w:val="7F0A760C"/>
    <w:multiLevelType w:val="multilevel"/>
    <w:tmpl w:val="D99841EA"/>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94785365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46878166">
    <w:abstractNumId w:val="7"/>
  </w:num>
  <w:num w:numId="3" w16cid:durableId="834220892">
    <w:abstractNumId w:val="1"/>
  </w:num>
  <w:num w:numId="4" w16cid:durableId="1110396641">
    <w:abstractNumId w:val="14"/>
  </w:num>
  <w:num w:numId="5" w16cid:durableId="444231040">
    <w:abstractNumId w:val="16"/>
  </w:num>
  <w:num w:numId="6" w16cid:durableId="1440877651">
    <w:abstractNumId w:val="2"/>
  </w:num>
  <w:num w:numId="7" w16cid:durableId="3091556">
    <w:abstractNumId w:val="15"/>
  </w:num>
  <w:num w:numId="8" w16cid:durableId="893538442">
    <w:abstractNumId w:val="8"/>
  </w:num>
  <w:num w:numId="9" w16cid:durableId="1256666157">
    <w:abstractNumId w:val="10"/>
  </w:num>
  <w:num w:numId="10" w16cid:durableId="37828708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3354166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20677982">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9152629">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69428538">
    <w:abstractNumId w:val="2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84050010">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21536782">
    <w:abstractNumId w:val="6"/>
  </w:num>
  <w:num w:numId="17" w16cid:durableId="1232737080">
    <w:abstractNumId w:val="4"/>
  </w:num>
  <w:num w:numId="18" w16cid:durableId="1159616316">
    <w:abstractNumId w:val="11"/>
  </w:num>
  <w:num w:numId="19" w16cid:durableId="657536033">
    <w:abstractNumId w:val="3"/>
  </w:num>
  <w:num w:numId="20" w16cid:durableId="1453204414">
    <w:abstractNumId w:val="17"/>
  </w:num>
  <w:num w:numId="21" w16cid:durableId="880870734">
    <w:abstractNumId w:val="22"/>
  </w:num>
  <w:num w:numId="22" w16cid:durableId="467166416">
    <w:abstractNumId w:val="13"/>
  </w:num>
  <w:num w:numId="23" w16cid:durableId="111680520">
    <w:abstractNumId w:val="5"/>
  </w:num>
  <w:num w:numId="24" w16cid:durableId="378820324">
    <w:abstractNumId w:val="20"/>
  </w:num>
  <w:num w:numId="25" w16cid:durableId="114566536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131E"/>
    <w:rsid w:val="0001618A"/>
    <w:rsid w:val="00024E44"/>
    <w:rsid w:val="00062FAD"/>
    <w:rsid w:val="000965B5"/>
    <w:rsid w:val="000B0D16"/>
    <w:rsid w:val="000B30B3"/>
    <w:rsid w:val="000C78E6"/>
    <w:rsid w:val="000E7C08"/>
    <w:rsid w:val="000F04EE"/>
    <w:rsid w:val="000F787B"/>
    <w:rsid w:val="00102508"/>
    <w:rsid w:val="00110463"/>
    <w:rsid w:val="00122E7D"/>
    <w:rsid w:val="00151967"/>
    <w:rsid w:val="00151BA5"/>
    <w:rsid w:val="00171731"/>
    <w:rsid w:val="00176E45"/>
    <w:rsid w:val="001871CD"/>
    <w:rsid w:val="00193D7C"/>
    <w:rsid w:val="001A5453"/>
    <w:rsid w:val="001B0358"/>
    <w:rsid w:val="001B52EE"/>
    <w:rsid w:val="001E0316"/>
    <w:rsid w:val="001F019D"/>
    <w:rsid w:val="001F16B2"/>
    <w:rsid w:val="001F2279"/>
    <w:rsid w:val="001F48D3"/>
    <w:rsid w:val="00242FB0"/>
    <w:rsid w:val="00243BF7"/>
    <w:rsid w:val="00265FB4"/>
    <w:rsid w:val="00274EE4"/>
    <w:rsid w:val="002762D6"/>
    <w:rsid w:val="00296BCA"/>
    <w:rsid w:val="002A04D4"/>
    <w:rsid w:val="002A5454"/>
    <w:rsid w:val="002C196B"/>
    <w:rsid w:val="002D0C70"/>
    <w:rsid w:val="002D5F4E"/>
    <w:rsid w:val="003202CB"/>
    <w:rsid w:val="00326F93"/>
    <w:rsid w:val="0033740D"/>
    <w:rsid w:val="00364BB9"/>
    <w:rsid w:val="00390492"/>
    <w:rsid w:val="003913A5"/>
    <w:rsid w:val="0039494F"/>
    <w:rsid w:val="003B685C"/>
    <w:rsid w:val="003C76D3"/>
    <w:rsid w:val="003D4486"/>
    <w:rsid w:val="003F7D08"/>
    <w:rsid w:val="00410C2D"/>
    <w:rsid w:val="0047398F"/>
    <w:rsid w:val="00486657"/>
    <w:rsid w:val="00491809"/>
    <w:rsid w:val="004952E1"/>
    <w:rsid w:val="004A07F0"/>
    <w:rsid w:val="004A4A81"/>
    <w:rsid w:val="004C083E"/>
    <w:rsid w:val="004C0AEC"/>
    <w:rsid w:val="004C62A5"/>
    <w:rsid w:val="004D2B25"/>
    <w:rsid w:val="004D7F04"/>
    <w:rsid w:val="005246BA"/>
    <w:rsid w:val="00534260"/>
    <w:rsid w:val="005547A1"/>
    <w:rsid w:val="00560EC7"/>
    <w:rsid w:val="005E2388"/>
    <w:rsid w:val="005E4EC0"/>
    <w:rsid w:val="005F4D58"/>
    <w:rsid w:val="006064A3"/>
    <w:rsid w:val="00607EE1"/>
    <w:rsid w:val="00623255"/>
    <w:rsid w:val="00632EC4"/>
    <w:rsid w:val="006356E0"/>
    <w:rsid w:val="00650114"/>
    <w:rsid w:val="00677137"/>
    <w:rsid w:val="006E5919"/>
    <w:rsid w:val="00706571"/>
    <w:rsid w:val="0070795A"/>
    <w:rsid w:val="007313E6"/>
    <w:rsid w:val="00731B4F"/>
    <w:rsid w:val="00735349"/>
    <w:rsid w:val="007639B0"/>
    <w:rsid w:val="00764CFC"/>
    <w:rsid w:val="007A752B"/>
    <w:rsid w:val="007B0512"/>
    <w:rsid w:val="007C0F78"/>
    <w:rsid w:val="007F4EC9"/>
    <w:rsid w:val="00802B83"/>
    <w:rsid w:val="00804EBD"/>
    <w:rsid w:val="008444F9"/>
    <w:rsid w:val="00874EF7"/>
    <w:rsid w:val="008859FB"/>
    <w:rsid w:val="00886701"/>
    <w:rsid w:val="00890B19"/>
    <w:rsid w:val="008D5A07"/>
    <w:rsid w:val="008E738A"/>
    <w:rsid w:val="00927174"/>
    <w:rsid w:val="00927F25"/>
    <w:rsid w:val="0094723D"/>
    <w:rsid w:val="00955ADC"/>
    <w:rsid w:val="00977B87"/>
    <w:rsid w:val="009939AE"/>
    <w:rsid w:val="009C143B"/>
    <w:rsid w:val="009C2893"/>
    <w:rsid w:val="009C743F"/>
    <w:rsid w:val="009D0A6D"/>
    <w:rsid w:val="009D208E"/>
    <w:rsid w:val="009E7600"/>
    <w:rsid w:val="009F5129"/>
    <w:rsid w:val="00A04607"/>
    <w:rsid w:val="00A04AE4"/>
    <w:rsid w:val="00A0629A"/>
    <w:rsid w:val="00A30EF5"/>
    <w:rsid w:val="00A3383E"/>
    <w:rsid w:val="00A4414F"/>
    <w:rsid w:val="00A63D3C"/>
    <w:rsid w:val="00A74F87"/>
    <w:rsid w:val="00A96DCA"/>
    <w:rsid w:val="00AA7ABC"/>
    <w:rsid w:val="00AF0477"/>
    <w:rsid w:val="00B05E8A"/>
    <w:rsid w:val="00B065CA"/>
    <w:rsid w:val="00B27E96"/>
    <w:rsid w:val="00B32C13"/>
    <w:rsid w:val="00B32EB3"/>
    <w:rsid w:val="00B35D5C"/>
    <w:rsid w:val="00B64107"/>
    <w:rsid w:val="00B7004A"/>
    <w:rsid w:val="00B7292C"/>
    <w:rsid w:val="00B87798"/>
    <w:rsid w:val="00B9701C"/>
    <w:rsid w:val="00BB6197"/>
    <w:rsid w:val="00BC51E6"/>
    <w:rsid w:val="00BD3189"/>
    <w:rsid w:val="00BD48DA"/>
    <w:rsid w:val="00BF0183"/>
    <w:rsid w:val="00BF18EC"/>
    <w:rsid w:val="00BF34CC"/>
    <w:rsid w:val="00C048AF"/>
    <w:rsid w:val="00C518AF"/>
    <w:rsid w:val="00C51953"/>
    <w:rsid w:val="00C70402"/>
    <w:rsid w:val="00D044CC"/>
    <w:rsid w:val="00D045C1"/>
    <w:rsid w:val="00D054BB"/>
    <w:rsid w:val="00D06641"/>
    <w:rsid w:val="00D606E5"/>
    <w:rsid w:val="00D721F6"/>
    <w:rsid w:val="00DA4BFA"/>
    <w:rsid w:val="00DB2A13"/>
    <w:rsid w:val="00DD219B"/>
    <w:rsid w:val="00DD56D7"/>
    <w:rsid w:val="00DE131E"/>
    <w:rsid w:val="00E14EBE"/>
    <w:rsid w:val="00E4539E"/>
    <w:rsid w:val="00E472B4"/>
    <w:rsid w:val="00EA1939"/>
    <w:rsid w:val="00ED6537"/>
    <w:rsid w:val="00EF0307"/>
    <w:rsid w:val="00EF71A0"/>
    <w:rsid w:val="00F071DC"/>
    <w:rsid w:val="00F17AB1"/>
    <w:rsid w:val="00F22E96"/>
    <w:rsid w:val="00F53681"/>
    <w:rsid w:val="00F5555F"/>
    <w:rsid w:val="00F73BF0"/>
    <w:rsid w:val="00F7428A"/>
    <w:rsid w:val="00F82EB9"/>
    <w:rsid w:val="00FB1ADD"/>
    <w:rsid w:val="00FE02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297557"/>
  <w15:docId w15:val="{7A528ACB-A5A0-446B-811D-48F1BEA68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238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B0512"/>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uiPriority w:val="99"/>
    <w:rsid w:val="007B0512"/>
  </w:style>
  <w:style w:type="paragraph" w:styleId="Footer">
    <w:name w:val="footer"/>
    <w:basedOn w:val="Normal"/>
    <w:link w:val="FooterChar"/>
    <w:uiPriority w:val="99"/>
    <w:unhideWhenUsed/>
    <w:rsid w:val="007B0512"/>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uiPriority w:val="99"/>
    <w:rsid w:val="007B0512"/>
  </w:style>
  <w:style w:type="character" w:styleId="Hyperlink">
    <w:name w:val="Hyperlink"/>
    <w:basedOn w:val="DefaultParagraphFont"/>
    <w:uiPriority w:val="99"/>
    <w:unhideWhenUsed/>
    <w:rsid w:val="000B0D16"/>
    <w:rPr>
      <w:color w:val="0563C1"/>
      <w:u w:val="single"/>
    </w:rPr>
  </w:style>
  <w:style w:type="paragraph" w:styleId="NormalWeb">
    <w:name w:val="Normal (Web)"/>
    <w:basedOn w:val="Normal"/>
    <w:uiPriority w:val="99"/>
    <w:unhideWhenUsed/>
    <w:rsid w:val="000B0D16"/>
    <w:pPr>
      <w:spacing w:before="100" w:beforeAutospacing="1" w:after="100" w:afterAutospacing="1"/>
    </w:pPr>
    <w:rPr>
      <w:rFonts w:ascii="Times New Roman" w:hAnsi="Times New Roman" w:cs="Times New Roman"/>
      <w:sz w:val="24"/>
      <w:szCs w:val="24"/>
      <w:lang w:eastAsia="en-GB"/>
    </w:rPr>
  </w:style>
  <w:style w:type="paragraph" w:styleId="ListParagraph">
    <w:name w:val="List Paragraph"/>
    <w:basedOn w:val="Normal"/>
    <w:uiPriority w:val="34"/>
    <w:qFormat/>
    <w:rsid w:val="00AF0477"/>
    <w:pPr>
      <w:spacing w:after="160" w:line="259" w:lineRule="auto"/>
      <w:ind w:left="720"/>
      <w:contextualSpacing/>
    </w:pPr>
    <w:rPr>
      <w:rFonts w:asciiTheme="minorHAnsi" w:hAnsiTheme="minorHAnsi" w:cstheme="minorBidi"/>
    </w:rPr>
  </w:style>
  <w:style w:type="paragraph" w:styleId="BalloonText">
    <w:name w:val="Balloon Text"/>
    <w:basedOn w:val="Normal"/>
    <w:link w:val="BalloonTextChar"/>
    <w:uiPriority w:val="99"/>
    <w:semiHidden/>
    <w:unhideWhenUsed/>
    <w:rsid w:val="004C083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083E"/>
    <w:rPr>
      <w:rFonts w:ascii="Segoe UI" w:hAnsi="Segoe UI" w:cs="Segoe UI"/>
      <w:sz w:val="18"/>
      <w:szCs w:val="18"/>
    </w:rPr>
  </w:style>
  <w:style w:type="character" w:styleId="CommentReference">
    <w:name w:val="annotation reference"/>
    <w:basedOn w:val="DefaultParagraphFont"/>
    <w:uiPriority w:val="99"/>
    <w:semiHidden/>
    <w:unhideWhenUsed/>
    <w:rsid w:val="00024E44"/>
    <w:rPr>
      <w:sz w:val="16"/>
      <w:szCs w:val="16"/>
    </w:rPr>
  </w:style>
  <w:style w:type="paragraph" w:styleId="CommentText">
    <w:name w:val="annotation text"/>
    <w:basedOn w:val="Normal"/>
    <w:link w:val="CommentTextChar"/>
    <w:uiPriority w:val="99"/>
    <w:semiHidden/>
    <w:unhideWhenUsed/>
    <w:rsid w:val="00024E44"/>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024E44"/>
    <w:rPr>
      <w:sz w:val="20"/>
      <w:szCs w:val="20"/>
    </w:rPr>
  </w:style>
  <w:style w:type="paragraph" w:styleId="CommentSubject">
    <w:name w:val="annotation subject"/>
    <w:basedOn w:val="CommentText"/>
    <w:next w:val="CommentText"/>
    <w:link w:val="CommentSubjectChar"/>
    <w:uiPriority w:val="99"/>
    <w:semiHidden/>
    <w:unhideWhenUsed/>
    <w:rsid w:val="00024E44"/>
    <w:rPr>
      <w:b/>
      <w:bCs/>
    </w:rPr>
  </w:style>
  <w:style w:type="character" w:customStyle="1" w:styleId="CommentSubjectChar">
    <w:name w:val="Comment Subject Char"/>
    <w:basedOn w:val="CommentTextChar"/>
    <w:link w:val="CommentSubject"/>
    <w:uiPriority w:val="99"/>
    <w:semiHidden/>
    <w:rsid w:val="00024E44"/>
    <w:rPr>
      <w:b/>
      <w:bCs/>
      <w:sz w:val="20"/>
      <w:szCs w:val="20"/>
    </w:rPr>
  </w:style>
  <w:style w:type="paragraph" w:customStyle="1" w:styleId="xmsonormal">
    <w:name w:val="x_msonormal"/>
    <w:basedOn w:val="Normal"/>
    <w:rsid w:val="00BD3189"/>
    <w:rPr>
      <w:lang w:eastAsia="en-GB"/>
    </w:rPr>
  </w:style>
  <w:style w:type="paragraph" w:customStyle="1" w:styleId="xmsolistparagraph">
    <w:name w:val="x_msolistparagraph"/>
    <w:basedOn w:val="Normal"/>
    <w:rsid w:val="00BD3189"/>
    <w:pPr>
      <w:ind w:left="720"/>
    </w:pPr>
    <w:rPr>
      <w:lang w:eastAsia="en-GB"/>
    </w:rPr>
  </w:style>
  <w:style w:type="character" w:styleId="FollowedHyperlink">
    <w:name w:val="FollowedHyperlink"/>
    <w:basedOn w:val="DefaultParagraphFont"/>
    <w:uiPriority w:val="99"/>
    <w:semiHidden/>
    <w:unhideWhenUsed/>
    <w:rsid w:val="00486657"/>
    <w:rPr>
      <w:color w:val="954F72" w:themeColor="followedHyperlink"/>
      <w:u w:val="single"/>
    </w:rPr>
  </w:style>
  <w:style w:type="paragraph" w:styleId="TOC2">
    <w:name w:val="toc 2"/>
    <w:basedOn w:val="Normal"/>
    <w:next w:val="Normal"/>
    <w:autoRedefine/>
    <w:uiPriority w:val="39"/>
    <w:semiHidden/>
    <w:unhideWhenUsed/>
    <w:rsid w:val="00A30EF5"/>
    <w:pPr>
      <w:spacing w:after="100"/>
      <w:ind w:left="220"/>
    </w:pPr>
  </w:style>
  <w:style w:type="paragraph" w:styleId="Revision">
    <w:name w:val="Revision"/>
    <w:hidden/>
    <w:uiPriority w:val="99"/>
    <w:semiHidden/>
    <w:rsid w:val="007C0F78"/>
    <w:pPr>
      <w:spacing w:after="0" w:line="240" w:lineRule="auto"/>
    </w:pPr>
    <w:rPr>
      <w:rFonts w:ascii="Calibri" w:hAnsi="Calibri" w:cs="Calibri"/>
    </w:rPr>
  </w:style>
  <w:style w:type="paragraph" w:customStyle="1" w:styleId="xxmsonormal">
    <w:name w:val="x_xmsonormal"/>
    <w:basedOn w:val="Normal"/>
    <w:rsid w:val="009C143B"/>
    <w:rPr>
      <w:lang w:eastAsia="en-GB"/>
    </w:rPr>
  </w:style>
  <w:style w:type="paragraph" w:customStyle="1" w:styleId="xxmsolistparagraph">
    <w:name w:val="x_xmsolistparagraph"/>
    <w:basedOn w:val="Normal"/>
    <w:rsid w:val="009C143B"/>
    <w:pPr>
      <w:spacing w:before="100" w:beforeAutospacing="1" w:after="100" w:afterAutospacing="1"/>
    </w:pPr>
    <w:rPr>
      <w:rFonts w:ascii="Times New Roman" w:hAnsi="Times New Roman" w:cs="Times New Roman"/>
      <w:sz w:val="24"/>
      <w:szCs w:val="24"/>
      <w:lang w:eastAsia="en-GB"/>
    </w:rPr>
  </w:style>
  <w:style w:type="character" w:customStyle="1" w:styleId="elementtoproof">
    <w:name w:val="elementtoproof"/>
    <w:basedOn w:val="DefaultParagraphFont"/>
    <w:rsid w:val="00171731"/>
  </w:style>
  <w:style w:type="character" w:styleId="UnresolvedMention">
    <w:name w:val="Unresolved Mention"/>
    <w:basedOn w:val="DefaultParagraphFont"/>
    <w:uiPriority w:val="99"/>
    <w:semiHidden/>
    <w:unhideWhenUsed/>
    <w:rsid w:val="001F48D3"/>
    <w:rPr>
      <w:color w:val="605E5C"/>
      <w:shd w:val="clear" w:color="auto" w:fill="E1DFDD"/>
    </w:rPr>
  </w:style>
  <w:style w:type="character" w:customStyle="1" w:styleId="normaltextrun">
    <w:name w:val="normaltextrun"/>
    <w:basedOn w:val="DefaultParagraphFont"/>
    <w:rsid w:val="00F071DC"/>
  </w:style>
  <w:style w:type="character" w:customStyle="1" w:styleId="ui-provider">
    <w:name w:val="ui-provider"/>
    <w:basedOn w:val="DefaultParagraphFont"/>
    <w:rsid w:val="00A04607"/>
  </w:style>
  <w:style w:type="paragraph" w:customStyle="1" w:styleId="paragraph">
    <w:name w:val="paragraph"/>
    <w:basedOn w:val="Normal"/>
    <w:rsid w:val="00560EC7"/>
    <w:pPr>
      <w:spacing w:before="100" w:beforeAutospacing="1" w:after="100" w:afterAutospacing="1"/>
    </w:pPr>
    <w:rPr>
      <w:lang w:eastAsia="en-GB"/>
    </w:rPr>
  </w:style>
  <w:style w:type="character" w:customStyle="1" w:styleId="eop">
    <w:name w:val="eop"/>
    <w:basedOn w:val="DefaultParagraphFont"/>
    <w:rsid w:val="00560E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646907">
      <w:bodyDiv w:val="1"/>
      <w:marLeft w:val="0"/>
      <w:marRight w:val="0"/>
      <w:marTop w:val="0"/>
      <w:marBottom w:val="0"/>
      <w:divBdr>
        <w:top w:val="none" w:sz="0" w:space="0" w:color="auto"/>
        <w:left w:val="none" w:sz="0" w:space="0" w:color="auto"/>
        <w:bottom w:val="none" w:sz="0" w:space="0" w:color="auto"/>
        <w:right w:val="none" w:sz="0" w:space="0" w:color="auto"/>
      </w:divBdr>
    </w:div>
    <w:div w:id="378213371">
      <w:bodyDiv w:val="1"/>
      <w:marLeft w:val="0"/>
      <w:marRight w:val="0"/>
      <w:marTop w:val="0"/>
      <w:marBottom w:val="0"/>
      <w:divBdr>
        <w:top w:val="none" w:sz="0" w:space="0" w:color="auto"/>
        <w:left w:val="none" w:sz="0" w:space="0" w:color="auto"/>
        <w:bottom w:val="none" w:sz="0" w:space="0" w:color="auto"/>
        <w:right w:val="none" w:sz="0" w:space="0" w:color="auto"/>
      </w:divBdr>
    </w:div>
    <w:div w:id="431318320">
      <w:bodyDiv w:val="1"/>
      <w:marLeft w:val="0"/>
      <w:marRight w:val="0"/>
      <w:marTop w:val="0"/>
      <w:marBottom w:val="0"/>
      <w:divBdr>
        <w:top w:val="none" w:sz="0" w:space="0" w:color="auto"/>
        <w:left w:val="none" w:sz="0" w:space="0" w:color="auto"/>
        <w:bottom w:val="none" w:sz="0" w:space="0" w:color="auto"/>
        <w:right w:val="none" w:sz="0" w:space="0" w:color="auto"/>
      </w:divBdr>
    </w:div>
    <w:div w:id="479737945">
      <w:bodyDiv w:val="1"/>
      <w:marLeft w:val="0"/>
      <w:marRight w:val="0"/>
      <w:marTop w:val="0"/>
      <w:marBottom w:val="0"/>
      <w:divBdr>
        <w:top w:val="none" w:sz="0" w:space="0" w:color="auto"/>
        <w:left w:val="none" w:sz="0" w:space="0" w:color="auto"/>
        <w:bottom w:val="none" w:sz="0" w:space="0" w:color="auto"/>
        <w:right w:val="none" w:sz="0" w:space="0" w:color="auto"/>
      </w:divBdr>
    </w:div>
    <w:div w:id="616721932">
      <w:bodyDiv w:val="1"/>
      <w:marLeft w:val="0"/>
      <w:marRight w:val="0"/>
      <w:marTop w:val="0"/>
      <w:marBottom w:val="0"/>
      <w:divBdr>
        <w:top w:val="none" w:sz="0" w:space="0" w:color="auto"/>
        <w:left w:val="none" w:sz="0" w:space="0" w:color="auto"/>
        <w:bottom w:val="none" w:sz="0" w:space="0" w:color="auto"/>
        <w:right w:val="none" w:sz="0" w:space="0" w:color="auto"/>
      </w:divBdr>
    </w:div>
    <w:div w:id="622226182">
      <w:bodyDiv w:val="1"/>
      <w:marLeft w:val="0"/>
      <w:marRight w:val="0"/>
      <w:marTop w:val="0"/>
      <w:marBottom w:val="0"/>
      <w:divBdr>
        <w:top w:val="none" w:sz="0" w:space="0" w:color="auto"/>
        <w:left w:val="none" w:sz="0" w:space="0" w:color="auto"/>
        <w:bottom w:val="none" w:sz="0" w:space="0" w:color="auto"/>
        <w:right w:val="none" w:sz="0" w:space="0" w:color="auto"/>
      </w:divBdr>
    </w:div>
    <w:div w:id="727726724">
      <w:bodyDiv w:val="1"/>
      <w:marLeft w:val="0"/>
      <w:marRight w:val="0"/>
      <w:marTop w:val="0"/>
      <w:marBottom w:val="0"/>
      <w:divBdr>
        <w:top w:val="none" w:sz="0" w:space="0" w:color="auto"/>
        <w:left w:val="none" w:sz="0" w:space="0" w:color="auto"/>
        <w:bottom w:val="none" w:sz="0" w:space="0" w:color="auto"/>
        <w:right w:val="none" w:sz="0" w:space="0" w:color="auto"/>
      </w:divBdr>
    </w:div>
    <w:div w:id="732432313">
      <w:bodyDiv w:val="1"/>
      <w:marLeft w:val="0"/>
      <w:marRight w:val="0"/>
      <w:marTop w:val="0"/>
      <w:marBottom w:val="0"/>
      <w:divBdr>
        <w:top w:val="none" w:sz="0" w:space="0" w:color="auto"/>
        <w:left w:val="none" w:sz="0" w:space="0" w:color="auto"/>
        <w:bottom w:val="none" w:sz="0" w:space="0" w:color="auto"/>
        <w:right w:val="none" w:sz="0" w:space="0" w:color="auto"/>
      </w:divBdr>
      <w:divsChild>
        <w:div w:id="1944071925">
          <w:marLeft w:val="0"/>
          <w:marRight w:val="0"/>
          <w:marTop w:val="0"/>
          <w:marBottom w:val="0"/>
          <w:divBdr>
            <w:top w:val="none" w:sz="0" w:space="0" w:color="auto"/>
            <w:left w:val="none" w:sz="0" w:space="0" w:color="auto"/>
            <w:bottom w:val="none" w:sz="0" w:space="0" w:color="auto"/>
            <w:right w:val="none" w:sz="0" w:space="0" w:color="auto"/>
          </w:divBdr>
        </w:div>
        <w:div w:id="160464385">
          <w:marLeft w:val="0"/>
          <w:marRight w:val="0"/>
          <w:marTop w:val="0"/>
          <w:marBottom w:val="0"/>
          <w:divBdr>
            <w:top w:val="none" w:sz="0" w:space="0" w:color="auto"/>
            <w:left w:val="none" w:sz="0" w:space="0" w:color="auto"/>
            <w:bottom w:val="none" w:sz="0" w:space="0" w:color="auto"/>
            <w:right w:val="none" w:sz="0" w:space="0" w:color="auto"/>
          </w:divBdr>
        </w:div>
      </w:divsChild>
    </w:div>
    <w:div w:id="921764402">
      <w:bodyDiv w:val="1"/>
      <w:marLeft w:val="0"/>
      <w:marRight w:val="0"/>
      <w:marTop w:val="0"/>
      <w:marBottom w:val="0"/>
      <w:divBdr>
        <w:top w:val="none" w:sz="0" w:space="0" w:color="auto"/>
        <w:left w:val="none" w:sz="0" w:space="0" w:color="auto"/>
        <w:bottom w:val="none" w:sz="0" w:space="0" w:color="auto"/>
        <w:right w:val="none" w:sz="0" w:space="0" w:color="auto"/>
      </w:divBdr>
    </w:div>
    <w:div w:id="932516567">
      <w:bodyDiv w:val="1"/>
      <w:marLeft w:val="0"/>
      <w:marRight w:val="0"/>
      <w:marTop w:val="0"/>
      <w:marBottom w:val="0"/>
      <w:divBdr>
        <w:top w:val="none" w:sz="0" w:space="0" w:color="auto"/>
        <w:left w:val="none" w:sz="0" w:space="0" w:color="auto"/>
        <w:bottom w:val="none" w:sz="0" w:space="0" w:color="auto"/>
        <w:right w:val="none" w:sz="0" w:space="0" w:color="auto"/>
      </w:divBdr>
    </w:div>
    <w:div w:id="954211005">
      <w:bodyDiv w:val="1"/>
      <w:marLeft w:val="0"/>
      <w:marRight w:val="0"/>
      <w:marTop w:val="0"/>
      <w:marBottom w:val="0"/>
      <w:divBdr>
        <w:top w:val="none" w:sz="0" w:space="0" w:color="auto"/>
        <w:left w:val="none" w:sz="0" w:space="0" w:color="auto"/>
        <w:bottom w:val="none" w:sz="0" w:space="0" w:color="auto"/>
        <w:right w:val="none" w:sz="0" w:space="0" w:color="auto"/>
      </w:divBdr>
    </w:div>
    <w:div w:id="1006904689">
      <w:bodyDiv w:val="1"/>
      <w:marLeft w:val="0"/>
      <w:marRight w:val="0"/>
      <w:marTop w:val="0"/>
      <w:marBottom w:val="0"/>
      <w:divBdr>
        <w:top w:val="none" w:sz="0" w:space="0" w:color="auto"/>
        <w:left w:val="none" w:sz="0" w:space="0" w:color="auto"/>
        <w:bottom w:val="none" w:sz="0" w:space="0" w:color="auto"/>
        <w:right w:val="none" w:sz="0" w:space="0" w:color="auto"/>
      </w:divBdr>
    </w:div>
    <w:div w:id="1096748111">
      <w:bodyDiv w:val="1"/>
      <w:marLeft w:val="0"/>
      <w:marRight w:val="0"/>
      <w:marTop w:val="0"/>
      <w:marBottom w:val="0"/>
      <w:divBdr>
        <w:top w:val="none" w:sz="0" w:space="0" w:color="auto"/>
        <w:left w:val="none" w:sz="0" w:space="0" w:color="auto"/>
        <w:bottom w:val="none" w:sz="0" w:space="0" w:color="auto"/>
        <w:right w:val="none" w:sz="0" w:space="0" w:color="auto"/>
      </w:divBdr>
    </w:div>
    <w:div w:id="1172526733">
      <w:bodyDiv w:val="1"/>
      <w:marLeft w:val="0"/>
      <w:marRight w:val="0"/>
      <w:marTop w:val="0"/>
      <w:marBottom w:val="0"/>
      <w:divBdr>
        <w:top w:val="none" w:sz="0" w:space="0" w:color="auto"/>
        <w:left w:val="none" w:sz="0" w:space="0" w:color="auto"/>
        <w:bottom w:val="none" w:sz="0" w:space="0" w:color="auto"/>
        <w:right w:val="none" w:sz="0" w:space="0" w:color="auto"/>
      </w:divBdr>
    </w:div>
    <w:div w:id="1439181682">
      <w:bodyDiv w:val="1"/>
      <w:marLeft w:val="0"/>
      <w:marRight w:val="0"/>
      <w:marTop w:val="0"/>
      <w:marBottom w:val="0"/>
      <w:divBdr>
        <w:top w:val="none" w:sz="0" w:space="0" w:color="auto"/>
        <w:left w:val="none" w:sz="0" w:space="0" w:color="auto"/>
        <w:bottom w:val="none" w:sz="0" w:space="0" w:color="auto"/>
        <w:right w:val="none" w:sz="0" w:space="0" w:color="auto"/>
      </w:divBdr>
    </w:div>
    <w:div w:id="1494224244">
      <w:bodyDiv w:val="1"/>
      <w:marLeft w:val="0"/>
      <w:marRight w:val="0"/>
      <w:marTop w:val="0"/>
      <w:marBottom w:val="0"/>
      <w:divBdr>
        <w:top w:val="none" w:sz="0" w:space="0" w:color="auto"/>
        <w:left w:val="none" w:sz="0" w:space="0" w:color="auto"/>
        <w:bottom w:val="none" w:sz="0" w:space="0" w:color="auto"/>
        <w:right w:val="none" w:sz="0" w:space="0" w:color="auto"/>
      </w:divBdr>
    </w:div>
    <w:div w:id="1834906928">
      <w:bodyDiv w:val="1"/>
      <w:marLeft w:val="0"/>
      <w:marRight w:val="0"/>
      <w:marTop w:val="0"/>
      <w:marBottom w:val="0"/>
      <w:divBdr>
        <w:top w:val="none" w:sz="0" w:space="0" w:color="auto"/>
        <w:left w:val="none" w:sz="0" w:space="0" w:color="auto"/>
        <w:bottom w:val="none" w:sz="0" w:space="0" w:color="auto"/>
        <w:right w:val="none" w:sz="0" w:space="0" w:color="auto"/>
      </w:divBdr>
    </w:div>
    <w:div w:id="2107650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hcp.carehomes@nhs.net" TargetMode="External"/><Relationship Id="rId18" Type="http://schemas.openxmlformats.org/officeDocument/2006/relationships/hyperlink" Target="https://www.fhft.nhs.uk/gps/gp-centre/urgent-advice/" TargetMode="External"/><Relationship Id="rId3" Type="http://schemas.openxmlformats.org/officeDocument/2006/relationships/customXml" Target="../customXml/item3.xml"/><Relationship Id="rId21" Type="http://schemas.openxmlformats.org/officeDocument/2006/relationships/hyperlink" Target="https://www.fhft.nhs.uk/gps/gp-centre/news-and-interface-developments/" TargetMode="External"/><Relationship Id="rId7" Type="http://schemas.openxmlformats.org/officeDocument/2006/relationships/settings" Target="settings.xml"/><Relationship Id="rId12" Type="http://schemas.openxmlformats.org/officeDocument/2006/relationships/hyperlink" Target="https://www.frimleyhealthandcare.org.uk/weightmanagement" TargetMode="External"/><Relationship Id="rId17" Type="http://schemas.openxmlformats.org/officeDocument/2006/relationships/hyperlink" Target="https://gbr01.safelinks.protection.outlook.com/?url=https%3A%2F%2Fwww.fhft.nhs.uk%2Fgps%2Fgp-centre%2Freferrals-key-contacts%2F&amp;data=05%7C01%7Cfhft.gpcommunications%40nhs.net%7Caa588f583cd447966c7508dac734664b%7C37c354b285b047f5b22207b48d774ee3%7C0%7C0%7C638041325105951316%7CUnknown%7CTWFpbGZsb3d8eyJWIjoiMC4wLjAwMDAiLCJQIjoiV2luMzIiLCJBTiI6Ik1haWwiLCJXVCI6Mn0%3D%7C3000%7C%7C%7C&amp;sdata=QnLzO6AeZgSfu3MFs7FyCFXmjVWm2JnSatcCCzAQ1OQ%3D&amp;reserved=0" TargetMode="External"/><Relationship Id="rId2" Type="http://schemas.openxmlformats.org/officeDocument/2006/relationships/customXml" Target="../customXml/item2.xml"/><Relationship Id="rId16" Type="http://schemas.openxmlformats.org/officeDocument/2006/relationships/hyperlink" Target="https://www.fhft.nhs.uk/GPcentre" TargetMode="External"/><Relationship Id="rId20" Type="http://schemas.openxmlformats.org/officeDocument/2006/relationships/hyperlink" Target="https://www.fhft.nhs.uk/gps/gp-centre/sdec-including-ambulatory-car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frimley.icb.nhs.uk/policies-and-documents/medicines-optimisation/prescribing-guidelines-1/nutrition-and-blood"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bht.communitydietitians@nhs.net"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fhft.nhs.uk/gps/gp-centre/routine-advic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ntegratedhub@berkshire.nhs.uk"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D006\Desktop\Collaborative%20Branding\Frimley%20Collaborative%20-%20Word%20doc%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F27D3A322F9D4D9E0F444E4097AF33" ma:contentTypeVersion="16" ma:contentTypeDescription="Create a new document." ma:contentTypeScope="" ma:versionID="2078be214c78914790b36a2cc0ecfdd3">
  <xsd:schema xmlns:xsd="http://www.w3.org/2001/XMLSchema" xmlns:xs="http://www.w3.org/2001/XMLSchema" xmlns:p="http://schemas.microsoft.com/office/2006/metadata/properties" xmlns:ns1="http://schemas.microsoft.com/sharepoint/v3" xmlns:ns2="cb9ba6f8-7c8d-4921-a02e-ff14185f98e6" xmlns:ns3="a7cd7300-94fa-4d1e-b6b7-b5dc81e78a83" targetNamespace="http://schemas.microsoft.com/office/2006/metadata/properties" ma:root="true" ma:fieldsID="82a090ed3f3b191cf78080a3b918aea1" ns1:_="" ns2:_="" ns3:_="">
    <xsd:import namespace="http://schemas.microsoft.com/sharepoint/v3"/>
    <xsd:import namespace="cb9ba6f8-7c8d-4921-a02e-ff14185f98e6"/>
    <xsd:import namespace="a7cd7300-94fa-4d1e-b6b7-b5dc81e78a83"/>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9ba6f8-7c8d-4921-a02e-ff14185f9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7cd7300-94fa-4d1e-b6b7-b5dc81e78a8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b2779d1-2c2d-4a89-a016-f5a2cb1e612d}" ma:internalName="TaxCatchAll" ma:showField="CatchAllData" ma:web="a7cd7300-94fa-4d1e-b6b7-b5dc81e78a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a7cd7300-94fa-4d1e-b6b7-b5dc81e78a83"/>
    <lcf76f155ced4ddcb4097134ff3c332f xmlns="cb9ba6f8-7c8d-4921-a02e-ff14185f98e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A4E4B2-5A3F-403A-918B-906FFDD475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ba6f8-7c8d-4921-a02e-ff14185f98e6"/>
    <ds:schemaRef ds:uri="a7cd7300-94fa-4d1e-b6b7-b5dc81e78a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CA716B4-BCF7-4C3B-B702-FA7A005E29E0}">
  <ds:schemaRefs>
    <ds:schemaRef ds:uri="http://schemas.openxmlformats.org/officeDocument/2006/bibliography"/>
  </ds:schemaRefs>
</ds:datastoreItem>
</file>

<file path=customXml/itemProps3.xml><?xml version="1.0" encoding="utf-8"?>
<ds:datastoreItem xmlns:ds="http://schemas.openxmlformats.org/officeDocument/2006/customXml" ds:itemID="{C159FE15-C523-4F5E-B00F-76D11EE87341}">
  <ds:schemaRefs>
    <ds:schemaRef ds:uri="a7cd7300-94fa-4d1e-b6b7-b5dc81e78a83"/>
    <ds:schemaRef ds:uri="http://schemas.microsoft.com/sharepoint/v3"/>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http://schemas.microsoft.com/office/2006/metadata/properties"/>
    <ds:schemaRef ds:uri="http://purl.org/dc/dcmitype/"/>
    <ds:schemaRef ds:uri="cb9ba6f8-7c8d-4921-a02e-ff14185f98e6"/>
    <ds:schemaRef ds:uri="http://www.w3.org/XML/1998/namespace"/>
    <ds:schemaRef ds:uri="http://purl.org/dc/elements/1.1/"/>
  </ds:schemaRefs>
</ds:datastoreItem>
</file>

<file path=customXml/itemProps4.xml><?xml version="1.0" encoding="utf-8"?>
<ds:datastoreItem xmlns:ds="http://schemas.openxmlformats.org/officeDocument/2006/customXml" ds:itemID="{36C4E94B-BCA9-442D-8980-6847F823EAF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Frimley Collaborative - Word doc template.dotx</Template>
  <TotalTime>0</TotalTime>
  <Pages>3</Pages>
  <Words>1257</Words>
  <Characters>7170</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SCW</Company>
  <LinksUpToDate>false</LinksUpToDate>
  <CharactersWithSpaces>8411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Duggal Nisha</dc:creator>
  <cp:lastModifiedBy>SOUTHBY, Tina (FRIMLEY HEALTH NHS FOUNDATION TRUST)</cp:lastModifiedBy>
  <cp:revision>2</cp:revision>
  <dcterms:created xsi:type="dcterms:W3CDTF">2023-02-23T16:05:00Z</dcterms:created>
  <dcterms:modified xsi:type="dcterms:W3CDTF">2023-02-23T16:05:00Z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0x0101002FF27D3A322F9D4D9E0F444E4097AF33</vt:lpwstr>
  </property>
  <property fmtid="{D5CDD505-2E9C-101B-9397-08002B2CF9AE}" pid="3" name="MediaServiceImageTags">
    <vt:lpwstr/>
  </property>
</Properties>
</file>