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F06127" w14:textId="77777777" w:rsidR="000D3DEE" w:rsidRDefault="000D3DEE" w:rsidP="000D3DEE">
      <w:pPr>
        <w:rPr>
          <w:rFonts w:ascii="Arial" w:hAnsi="Arial" w:cs="Arial"/>
          <w:b/>
          <w:bCs/>
          <w:color w:val="231F20"/>
          <w:sz w:val="24"/>
          <w:szCs w:val="24"/>
        </w:rPr>
      </w:pPr>
      <w:r>
        <w:rPr>
          <w:rFonts w:ascii="Arial" w:hAnsi="Arial" w:cs="Arial"/>
          <w:b/>
          <w:bCs/>
          <w:color w:val="231F20"/>
          <w:sz w:val="24"/>
          <w:szCs w:val="24"/>
        </w:rPr>
        <w:t xml:space="preserve">Introduction of </w:t>
      </w:r>
      <w:proofErr w:type="spellStart"/>
      <w:r>
        <w:rPr>
          <w:rFonts w:ascii="Arial" w:hAnsi="Arial" w:cs="Arial"/>
          <w:b/>
          <w:bCs/>
          <w:color w:val="231F20"/>
          <w:sz w:val="24"/>
          <w:szCs w:val="24"/>
        </w:rPr>
        <w:t>VidPrevtyn</w:t>
      </w:r>
      <w:proofErr w:type="spellEnd"/>
      <w:r>
        <w:rPr>
          <w:rFonts w:ascii="Arial" w:hAnsi="Arial" w:cs="Arial"/>
          <w:b/>
          <w:bCs/>
          <w:color w:val="231F20"/>
          <w:sz w:val="24"/>
          <w:szCs w:val="24"/>
        </w:rPr>
        <w:t xml:space="preserve"> Beta and Comirnaty Original/Omicron BA.4-5 to facilitate delivery of </w:t>
      </w:r>
      <w:r>
        <w:rPr>
          <w:rFonts w:ascii="Arial" w:hAnsi="Arial" w:cs="Arial"/>
          <w:b/>
          <w:bCs/>
          <w:sz w:val="24"/>
          <w:szCs w:val="24"/>
        </w:rPr>
        <w:t xml:space="preserve">the </w:t>
      </w:r>
      <w:r>
        <w:rPr>
          <w:rFonts w:ascii="Arial" w:hAnsi="Arial" w:cs="Arial"/>
          <w:b/>
          <w:bCs/>
          <w:color w:val="231F20"/>
          <w:sz w:val="24"/>
          <w:szCs w:val="24"/>
        </w:rPr>
        <w:t>2023 Spring COVID-19 Vaccination Campaign</w:t>
      </w:r>
    </w:p>
    <w:p w14:paraId="7BCBD813" w14:textId="77777777" w:rsidR="000D3DEE" w:rsidRDefault="000D3DEE" w:rsidP="000D3DEE">
      <w:pPr>
        <w:rPr>
          <w:rFonts w:ascii="Arial" w:hAnsi="Arial" w:cs="Arial"/>
          <w:b/>
          <w:bCs/>
          <w:color w:val="231F20"/>
          <w:sz w:val="24"/>
          <w:szCs w:val="24"/>
        </w:rPr>
      </w:pPr>
    </w:p>
    <w:p w14:paraId="562D58F9" w14:textId="77777777" w:rsidR="000D3DEE" w:rsidRDefault="000D3DEE" w:rsidP="000D3DEE">
      <w:pPr>
        <w:rPr>
          <w:rFonts w:ascii="Arial" w:hAnsi="Arial" w:cs="Arial"/>
          <w:color w:val="231F20"/>
          <w:sz w:val="24"/>
          <w:szCs w:val="24"/>
        </w:rPr>
      </w:pPr>
      <w:r>
        <w:rPr>
          <w:rFonts w:ascii="Arial" w:hAnsi="Arial" w:cs="Arial"/>
          <w:color w:val="231F20"/>
          <w:sz w:val="24"/>
          <w:szCs w:val="24"/>
        </w:rPr>
        <w:t xml:space="preserve">Following the Ministerial Statement to confirm the launch of the COVID-19 Spring Vaccination programme </w:t>
      </w:r>
      <w:bookmarkStart w:id="0" w:name="_Int_P4cNrylY"/>
      <w:r>
        <w:fldChar w:fldCharType="begin"/>
      </w:r>
      <w:r>
        <w:instrText xml:space="preserve"> HYPERLINK "https://gbr01.safelinks.protection.outlook.com/?url=https%3A%2F%2Fwww.england.nhs.uk%2Flong-read%2Fpreparing-for-a-successful-spring-2023-covid-19-booster-campaign%2F&amp;data=05%7C01%7Cfrimleyicb.collaborative.communications%40nhs.net%7C74ccf1fb097147f4f4f508db239e3e3c%7C37c354b285b047f5b22207b48d774ee3%7C0%7C0%7C638142934775520765%7CUnknown%7CTWFpbGZsb3d8eyJWIjoiMC4wLjAwMDAiLCJQIjoiV2luMzIiLCJBTiI6Ik1haWwiLCJXVCI6Mn0%3D%7C3000%7C%7C%7C&amp;sdata=ug5P9pJbi4iHg4rF3MxZuJgMuk1nYacUREDIONRfyhA%3D&amp;reserved=0" </w:instrText>
      </w:r>
      <w:r>
        <w:fldChar w:fldCharType="separate"/>
      </w:r>
      <w:r>
        <w:rPr>
          <w:rStyle w:val="Hyperlink"/>
          <w:rFonts w:ascii="Arial" w:hAnsi="Arial" w:cs="Arial"/>
          <w:sz w:val="24"/>
          <w:szCs w:val="24"/>
        </w:rPr>
        <w:t>NHS</w:t>
      </w:r>
      <w:bookmarkEnd w:id="0"/>
      <w:r>
        <w:rPr>
          <w:rStyle w:val="Hyperlink"/>
          <w:rFonts w:ascii="Arial" w:hAnsi="Arial" w:cs="Arial"/>
          <w:sz w:val="24"/>
          <w:szCs w:val="24"/>
        </w:rPr>
        <w:t xml:space="preserve"> England » Preparing for a successful spring 2023 COVID-19 booster campaign</w:t>
      </w:r>
      <w:r>
        <w:fldChar w:fldCharType="end"/>
      </w:r>
      <w:r>
        <w:rPr>
          <w:rFonts w:ascii="Arial" w:hAnsi="Arial" w:cs="Arial"/>
          <w:color w:val="231F20"/>
          <w:sz w:val="24"/>
          <w:szCs w:val="24"/>
        </w:rPr>
        <w:t xml:space="preserve"> we are writing to set out the next steps in delivering this campaign. The Joint Committee on Vaccination and Immunisation (JCVI) has advised that </w:t>
      </w:r>
      <w:proofErr w:type="gramStart"/>
      <w:r>
        <w:rPr>
          <w:rFonts w:ascii="Arial" w:hAnsi="Arial" w:cs="Arial"/>
          <w:color w:val="231F20"/>
          <w:sz w:val="24"/>
          <w:szCs w:val="24"/>
        </w:rPr>
        <w:t>a number of</w:t>
      </w:r>
      <w:proofErr w:type="gramEnd"/>
      <w:r>
        <w:rPr>
          <w:rFonts w:ascii="Arial" w:hAnsi="Arial" w:cs="Arial"/>
          <w:color w:val="231F20"/>
          <w:sz w:val="24"/>
          <w:szCs w:val="24"/>
        </w:rPr>
        <w:t xml:space="preserve"> different vaccines can be used during the spring campaign. Regions, </w:t>
      </w:r>
      <w:proofErr w:type="gramStart"/>
      <w:r>
        <w:rPr>
          <w:rFonts w:ascii="Arial" w:hAnsi="Arial" w:cs="Arial"/>
          <w:color w:val="231F20"/>
          <w:sz w:val="24"/>
          <w:szCs w:val="24"/>
        </w:rPr>
        <w:t>systems</w:t>
      </w:r>
      <w:proofErr w:type="gramEnd"/>
      <w:r>
        <w:rPr>
          <w:rFonts w:ascii="Arial" w:hAnsi="Arial" w:cs="Arial"/>
          <w:color w:val="231F20"/>
          <w:sz w:val="24"/>
          <w:szCs w:val="24"/>
        </w:rPr>
        <w:t xml:space="preserve"> and sites are initially asked to prepare to deploy </w:t>
      </w:r>
      <w:proofErr w:type="spellStart"/>
      <w:r>
        <w:rPr>
          <w:rFonts w:ascii="Arial" w:hAnsi="Arial" w:cs="Arial"/>
          <w:color w:val="231F20"/>
          <w:sz w:val="24"/>
          <w:szCs w:val="24"/>
        </w:rPr>
        <w:t>VidPrevtyn</w:t>
      </w:r>
      <w:proofErr w:type="spellEnd"/>
      <w:r>
        <w:rPr>
          <w:rFonts w:ascii="Arial" w:hAnsi="Arial" w:cs="Arial"/>
          <w:color w:val="231F20"/>
          <w:sz w:val="24"/>
          <w:szCs w:val="24"/>
        </w:rPr>
        <w:t xml:space="preserve"> Beta (Sanofi) and Comirnaty Original/Omicron BA.4-5 (Pfizer) for the Spring Campaign. </w:t>
      </w:r>
    </w:p>
    <w:p w14:paraId="24BB1CE7" w14:textId="77777777" w:rsidR="000D3DEE" w:rsidRDefault="000D3DEE" w:rsidP="000D3DEE">
      <w:pPr>
        <w:rPr>
          <w:rFonts w:ascii="Arial" w:hAnsi="Arial" w:cs="Arial"/>
          <w:color w:val="231F20"/>
          <w:sz w:val="24"/>
          <w:szCs w:val="24"/>
        </w:rPr>
      </w:pPr>
    </w:p>
    <w:p w14:paraId="39509898" w14:textId="77777777" w:rsidR="000D3DEE" w:rsidRDefault="000D3DEE" w:rsidP="000D3DEE">
      <w:pPr>
        <w:rPr>
          <w:rFonts w:ascii="Arial" w:hAnsi="Arial" w:cs="Arial"/>
          <w:b/>
          <w:bCs/>
          <w:color w:val="231F20"/>
          <w:sz w:val="24"/>
          <w:szCs w:val="24"/>
          <w:u w:val="single"/>
        </w:rPr>
      </w:pPr>
      <w:proofErr w:type="spellStart"/>
      <w:r>
        <w:rPr>
          <w:rFonts w:ascii="Arial" w:hAnsi="Arial" w:cs="Arial"/>
          <w:b/>
          <w:bCs/>
          <w:color w:val="231F20"/>
          <w:sz w:val="24"/>
          <w:szCs w:val="24"/>
          <w:u w:val="single"/>
        </w:rPr>
        <w:t>VidPrevtyn</w:t>
      </w:r>
      <w:proofErr w:type="spellEnd"/>
      <w:r>
        <w:rPr>
          <w:rFonts w:ascii="Arial" w:hAnsi="Arial" w:cs="Arial"/>
          <w:b/>
          <w:bCs/>
          <w:color w:val="231F20"/>
          <w:sz w:val="24"/>
          <w:szCs w:val="24"/>
          <w:u w:val="single"/>
        </w:rPr>
        <w:t xml:space="preserve"> Beta 0.5ml Intramuscular</w:t>
      </w:r>
    </w:p>
    <w:p w14:paraId="63FACE6B" w14:textId="77777777" w:rsidR="000D3DEE" w:rsidRDefault="000D3DEE" w:rsidP="000D3DEE">
      <w:pPr>
        <w:rPr>
          <w:rFonts w:ascii="Arial" w:hAnsi="Arial" w:cs="Arial"/>
          <w:color w:val="231F20"/>
          <w:sz w:val="24"/>
          <w:szCs w:val="24"/>
        </w:rPr>
      </w:pPr>
    </w:p>
    <w:p w14:paraId="27CDB87D" w14:textId="77777777" w:rsidR="000D3DEE" w:rsidRDefault="000D3DEE" w:rsidP="000D3DEE">
      <w:pPr>
        <w:rPr>
          <w:rFonts w:ascii="Arial" w:hAnsi="Arial" w:cs="Arial"/>
          <w:sz w:val="24"/>
          <w:szCs w:val="24"/>
        </w:rPr>
      </w:pPr>
      <w:r>
        <w:rPr>
          <w:rFonts w:ascii="Arial" w:hAnsi="Arial" w:cs="Arial"/>
          <w:color w:val="231F20"/>
          <w:sz w:val="24"/>
          <w:szCs w:val="24"/>
        </w:rPr>
        <w:t xml:space="preserve">JCVI has recommended the use of </w:t>
      </w:r>
      <w:proofErr w:type="spellStart"/>
      <w:r>
        <w:rPr>
          <w:rFonts w:ascii="Arial" w:hAnsi="Arial" w:cs="Arial"/>
          <w:color w:val="231F20"/>
          <w:sz w:val="24"/>
          <w:szCs w:val="24"/>
        </w:rPr>
        <w:t>VidPrevtyn</w:t>
      </w:r>
      <w:proofErr w:type="spellEnd"/>
      <w:r>
        <w:rPr>
          <w:rFonts w:ascii="Arial" w:hAnsi="Arial" w:cs="Arial"/>
          <w:color w:val="231F20"/>
          <w:sz w:val="24"/>
          <w:szCs w:val="24"/>
        </w:rPr>
        <w:t xml:space="preserve"> Beta for</w:t>
      </w:r>
      <w:r>
        <w:rPr>
          <w:rFonts w:ascii="Arial" w:hAnsi="Arial" w:cs="Arial"/>
          <w:color w:val="202A30"/>
          <w:sz w:val="24"/>
          <w:szCs w:val="24"/>
        </w:rPr>
        <w:t>:</w:t>
      </w:r>
    </w:p>
    <w:p w14:paraId="1A2B502E" w14:textId="77777777" w:rsidR="000D3DEE" w:rsidRDefault="000D3DEE" w:rsidP="000D3DEE">
      <w:pPr>
        <w:numPr>
          <w:ilvl w:val="0"/>
          <w:numId w:val="1"/>
        </w:numPr>
        <w:spacing w:line="252" w:lineRule="auto"/>
        <w:rPr>
          <w:rFonts w:ascii="Arial" w:eastAsia="Times New Roman" w:hAnsi="Arial" w:cs="Arial"/>
          <w:sz w:val="24"/>
          <w:szCs w:val="24"/>
        </w:rPr>
      </w:pPr>
      <w:r>
        <w:rPr>
          <w:rFonts w:ascii="Arial" w:eastAsia="Times New Roman" w:hAnsi="Arial" w:cs="Arial"/>
          <w:sz w:val="24"/>
          <w:szCs w:val="24"/>
        </w:rPr>
        <w:t>A</w:t>
      </w:r>
      <w:r>
        <w:rPr>
          <w:rFonts w:ascii="Arial" w:eastAsia="Times New Roman" w:hAnsi="Arial" w:cs="Arial"/>
          <w:color w:val="202A30"/>
          <w:sz w:val="24"/>
          <w:szCs w:val="24"/>
        </w:rPr>
        <w:t xml:space="preserve">dults aged 75 years and </w:t>
      </w:r>
      <w:proofErr w:type="gramStart"/>
      <w:r>
        <w:rPr>
          <w:rFonts w:ascii="Arial" w:eastAsia="Times New Roman" w:hAnsi="Arial" w:cs="Arial"/>
          <w:color w:val="202A30"/>
          <w:sz w:val="24"/>
          <w:szCs w:val="24"/>
        </w:rPr>
        <w:t>over</w:t>
      </w:r>
      <w:proofErr w:type="gramEnd"/>
    </w:p>
    <w:p w14:paraId="0AAFB41B" w14:textId="77777777" w:rsidR="000D3DEE" w:rsidRDefault="000D3DEE" w:rsidP="000D3DEE">
      <w:pPr>
        <w:spacing w:line="252" w:lineRule="auto"/>
        <w:rPr>
          <w:rFonts w:ascii="Arial" w:hAnsi="Arial" w:cs="Arial"/>
          <w:sz w:val="24"/>
          <w:szCs w:val="24"/>
        </w:rPr>
      </w:pPr>
    </w:p>
    <w:p w14:paraId="119D168D" w14:textId="77777777" w:rsidR="000D3DEE" w:rsidRDefault="000D3DEE" w:rsidP="000D3DEE">
      <w:pPr>
        <w:spacing w:line="252" w:lineRule="auto"/>
        <w:rPr>
          <w:rFonts w:ascii="Arial" w:hAnsi="Arial" w:cs="Arial"/>
          <w:color w:val="0563C1"/>
          <w:sz w:val="24"/>
          <w:szCs w:val="24"/>
          <w:u w:val="single"/>
        </w:rPr>
      </w:pPr>
      <w:r>
        <w:rPr>
          <w:rFonts w:ascii="Arial" w:hAnsi="Arial" w:cs="Arial"/>
          <w:sz w:val="24"/>
          <w:szCs w:val="24"/>
        </w:rPr>
        <w:t>JCVI</w:t>
      </w:r>
      <w:r>
        <w:rPr>
          <w:rFonts w:ascii="Arial" w:hAnsi="Arial" w:cs="Arial"/>
          <w:color w:val="231F20"/>
          <w:sz w:val="24"/>
          <w:szCs w:val="24"/>
        </w:rPr>
        <w:t xml:space="preserve"> have also indicated that operational flexibility may be exercised when offering vaccination to persons aged less than 75 years who are residing in a care home for older aged persons. This is referenced in the </w:t>
      </w:r>
      <w:hyperlink r:id="rId5" w:history="1">
        <w:r>
          <w:rPr>
            <w:rStyle w:val="Hyperlink"/>
            <w:rFonts w:ascii="Arial" w:hAnsi="Arial" w:cs="Arial"/>
            <w:sz w:val="24"/>
            <w:szCs w:val="24"/>
          </w:rPr>
          <w:t>Green Book</w:t>
        </w:r>
      </w:hyperlink>
      <w:r>
        <w:rPr>
          <w:rFonts w:ascii="Arial" w:hAnsi="Arial" w:cs="Arial"/>
          <w:color w:val="0563C1"/>
          <w:sz w:val="24"/>
          <w:szCs w:val="24"/>
          <w:u w:val="single"/>
        </w:rPr>
        <w:t>.</w:t>
      </w:r>
    </w:p>
    <w:p w14:paraId="5276CF2D" w14:textId="77777777" w:rsidR="000D3DEE" w:rsidRDefault="000D3DEE" w:rsidP="000D3DEE">
      <w:pPr>
        <w:rPr>
          <w:rFonts w:ascii="Arial" w:hAnsi="Arial" w:cs="Arial"/>
          <w:color w:val="202A30"/>
          <w:sz w:val="24"/>
          <w:szCs w:val="24"/>
        </w:rPr>
      </w:pPr>
    </w:p>
    <w:p w14:paraId="32F6D4C7" w14:textId="77777777" w:rsidR="000D3DEE" w:rsidRDefault="000D3DEE" w:rsidP="000D3DEE">
      <w:pPr>
        <w:rPr>
          <w:rFonts w:ascii="Arial" w:hAnsi="Arial" w:cs="Arial"/>
          <w:color w:val="202A30"/>
          <w:sz w:val="24"/>
          <w:szCs w:val="24"/>
        </w:rPr>
      </w:pPr>
      <w:r>
        <w:rPr>
          <w:rFonts w:ascii="Arial" w:hAnsi="Arial" w:cs="Arial"/>
          <w:color w:val="202A30"/>
          <w:sz w:val="24"/>
          <w:szCs w:val="24"/>
        </w:rPr>
        <w:t xml:space="preserve">This vaccine contains squalene, an ingredient derived from fish. To date, no Covid-19 vaccine offered by the NHS to the public has contained any animal ingredient, including egg – a detail we have reflected in public-facing resources such as on nhs.uk and in information resources developed with community and faith partners. We are briefing stakeholders about this forthcoming change and are updating relevant public resources to ensure informed decision-making can continue. </w:t>
      </w:r>
    </w:p>
    <w:p w14:paraId="424DB18E" w14:textId="77777777" w:rsidR="000D3DEE" w:rsidRDefault="000D3DEE" w:rsidP="000D3DEE">
      <w:pPr>
        <w:rPr>
          <w:rFonts w:ascii="Arial" w:hAnsi="Arial" w:cs="Arial"/>
          <w:color w:val="202A30"/>
          <w:sz w:val="24"/>
          <w:szCs w:val="24"/>
        </w:rPr>
      </w:pPr>
    </w:p>
    <w:p w14:paraId="39A17791" w14:textId="77777777" w:rsidR="000D3DEE" w:rsidRDefault="000D3DEE" w:rsidP="000D3DEE">
      <w:pPr>
        <w:rPr>
          <w:rFonts w:ascii="Arial" w:hAnsi="Arial" w:cs="Arial"/>
          <w:color w:val="202A30"/>
          <w:sz w:val="24"/>
          <w:szCs w:val="24"/>
        </w:rPr>
      </w:pPr>
      <w:r>
        <w:rPr>
          <w:rFonts w:ascii="Arial" w:hAnsi="Arial" w:cs="Arial"/>
          <w:color w:val="202A30"/>
          <w:sz w:val="24"/>
          <w:szCs w:val="24"/>
        </w:rPr>
        <w:t xml:space="preserve">We encourage all systems and sites to ensure that their public-facing information about animal ingredients is similarly up to date (linking to </w:t>
      </w:r>
      <w:hyperlink r:id="rId6" w:history="1">
        <w:r>
          <w:rPr>
            <w:rStyle w:val="Hyperlink"/>
            <w:rFonts w:ascii="Arial" w:hAnsi="Arial" w:cs="Arial"/>
            <w:color w:val="0070C0"/>
            <w:sz w:val="24"/>
            <w:szCs w:val="24"/>
          </w:rPr>
          <w:t>this UKHSA information leaflet</w:t>
        </w:r>
      </w:hyperlink>
      <w:r>
        <w:rPr>
          <w:rFonts w:ascii="Arial" w:hAnsi="Arial" w:cs="Arial"/>
          <w:color w:val="202A30"/>
          <w:sz w:val="24"/>
          <w:szCs w:val="24"/>
        </w:rPr>
        <w:t xml:space="preserve"> may be useful as it is updated). In addition, those giving consent for a vaccination as part of the Spring campaign should be asked about any religious or ethical dietary considerations before vaccination, in order that they receive the appropriate vaccine</w:t>
      </w:r>
      <w:r>
        <w:rPr>
          <w:rFonts w:ascii="Arial" w:hAnsi="Arial" w:cs="Arial"/>
          <w:sz w:val="24"/>
          <w:szCs w:val="24"/>
        </w:rPr>
        <w:t xml:space="preserve">. </w:t>
      </w:r>
    </w:p>
    <w:p w14:paraId="0274CD7F" w14:textId="77777777" w:rsidR="000D3DEE" w:rsidRDefault="000D3DEE" w:rsidP="000D3DEE">
      <w:pPr>
        <w:rPr>
          <w:rFonts w:ascii="Arial" w:hAnsi="Arial" w:cs="Arial"/>
          <w:b/>
          <w:bCs/>
          <w:color w:val="231F20"/>
          <w:sz w:val="24"/>
          <w:szCs w:val="24"/>
        </w:rPr>
      </w:pPr>
    </w:p>
    <w:p w14:paraId="55FC301E" w14:textId="77777777" w:rsidR="000D3DEE" w:rsidRDefault="000D3DEE" w:rsidP="000D3DEE">
      <w:pPr>
        <w:rPr>
          <w:rFonts w:ascii="Arial" w:hAnsi="Arial" w:cs="Arial"/>
          <w:b/>
          <w:bCs/>
          <w:color w:val="231F20"/>
          <w:sz w:val="24"/>
          <w:szCs w:val="24"/>
        </w:rPr>
      </w:pPr>
    </w:p>
    <w:p w14:paraId="46CEC478" w14:textId="77777777" w:rsidR="000D3DEE" w:rsidRDefault="000D3DEE" w:rsidP="000D3DEE">
      <w:pPr>
        <w:rPr>
          <w:rFonts w:ascii="Arial" w:hAnsi="Arial" w:cs="Arial"/>
          <w:b/>
          <w:bCs/>
          <w:color w:val="231F20"/>
          <w:sz w:val="24"/>
          <w:szCs w:val="24"/>
          <w:u w:val="single"/>
        </w:rPr>
      </w:pPr>
      <w:r>
        <w:rPr>
          <w:rFonts w:ascii="Arial" w:hAnsi="Arial" w:cs="Arial"/>
          <w:b/>
          <w:bCs/>
          <w:color w:val="231F20"/>
          <w:sz w:val="24"/>
          <w:szCs w:val="24"/>
          <w:u w:val="single"/>
        </w:rPr>
        <w:t>Comirnaty Original/Omicron BA.4-5 (15/15 micrograms) 0.3ml Intramuscular</w:t>
      </w:r>
    </w:p>
    <w:p w14:paraId="05540AB6" w14:textId="77777777" w:rsidR="000D3DEE" w:rsidRDefault="000D3DEE" w:rsidP="000D3DEE">
      <w:pPr>
        <w:rPr>
          <w:rFonts w:ascii="Arial" w:hAnsi="Arial" w:cs="Arial"/>
          <w:color w:val="231F20"/>
          <w:sz w:val="24"/>
          <w:szCs w:val="24"/>
        </w:rPr>
      </w:pPr>
    </w:p>
    <w:p w14:paraId="042B96CD" w14:textId="77777777" w:rsidR="000D3DEE" w:rsidRDefault="000D3DEE" w:rsidP="000D3DEE">
      <w:pPr>
        <w:rPr>
          <w:rFonts w:ascii="Arial" w:hAnsi="Arial" w:cs="Arial"/>
          <w:color w:val="231F20"/>
          <w:sz w:val="24"/>
          <w:szCs w:val="24"/>
        </w:rPr>
      </w:pPr>
      <w:r>
        <w:rPr>
          <w:rFonts w:ascii="Arial" w:hAnsi="Arial" w:cs="Arial"/>
          <w:color w:val="231F20"/>
          <w:sz w:val="24"/>
          <w:szCs w:val="24"/>
        </w:rPr>
        <w:t>JCVI has recommended the use of Comirnaty Original/Omicron BA.4-5 for:</w:t>
      </w:r>
    </w:p>
    <w:p w14:paraId="1744F02C" w14:textId="77777777" w:rsidR="000D3DEE" w:rsidRDefault="000D3DEE" w:rsidP="000D3DEE">
      <w:pPr>
        <w:rPr>
          <w:rFonts w:ascii="Arial" w:hAnsi="Arial" w:cs="Arial"/>
          <w:color w:val="231F20"/>
          <w:sz w:val="24"/>
          <w:szCs w:val="24"/>
        </w:rPr>
      </w:pPr>
    </w:p>
    <w:p w14:paraId="4ABE7637" w14:textId="77777777" w:rsidR="000D3DEE" w:rsidRDefault="000D3DEE" w:rsidP="000D3DEE">
      <w:pPr>
        <w:numPr>
          <w:ilvl w:val="0"/>
          <w:numId w:val="1"/>
        </w:numPr>
        <w:spacing w:line="252" w:lineRule="auto"/>
        <w:rPr>
          <w:rFonts w:ascii="Arial" w:eastAsia="Times New Roman" w:hAnsi="Arial" w:cs="Arial"/>
          <w:color w:val="202A30"/>
          <w:sz w:val="24"/>
          <w:szCs w:val="24"/>
        </w:rPr>
      </w:pPr>
      <w:r>
        <w:rPr>
          <w:rFonts w:ascii="Arial" w:eastAsia="Times New Roman" w:hAnsi="Arial" w:cs="Arial"/>
          <w:color w:val="202A30"/>
          <w:sz w:val="24"/>
          <w:szCs w:val="24"/>
        </w:rPr>
        <w:t xml:space="preserve">adults aged 75 years and </w:t>
      </w:r>
      <w:proofErr w:type="gramStart"/>
      <w:r>
        <w:rPr>
          <w:rFonts w:ascii="Arial" w:eastAsia="Times New Roman" w:hAnsi="Arial" w:cs="Arial"/>
          <w:color w:val="202A30"/>
          <w:sz w:val="24"/>
          <w:szCs w:val="24"/>
        </w:rPr>
        <w:t>over</w:t>
      </w:r>
      <w:proofErr w:type="gramEnd"/>
    </w:p>
    <w:p w14:paraId="07C9F898" w14:textId="77777777" w:rsidR="000D3DEE" w:rsidRDefault="000D3DEE" w:rsidP="000D3DEE">
      <w:pPr>
        <w:numPr>
          <w:ilvl w:val="0"/>
          <w:numId w:val="1"/>
        </w:numPr>
        <w:spacing w:line="252" w:lineRule="auto"/>
        <w:rPr>
          <w:rFonts w:ascii="Arial" w:eastAsia="Times New Roman" w:hAnsi="Arial" w:cs="Arial"/>
          <w:color w:val="202A30"/>
          <w:sz w:val="24"/>
          <w:szCs w:val="24"/>
        </w:rPr>
      </w:pPr>
      <w:r>
        <w:rPr>
          <w:rFonts w:ascii="Arial" w:eastAsia="Times New Roman" w:hAnsi="Arial" w:cs="Arial"/>
          <w:color w:val="202A30"/>
          <w:sz w:val="24"/>
          <w:szCs w:val="24"/>
        </w:rPr>
        <w:t xml:space="preserve">residents in a care home for older adults aged 65 years and </w:t>
      </w:r>
      <w:proofErr w:type="gramStart"/>
      <w:r>
        <w:rPr>
          <w:rFonts w:ascii="Arial" w:eastAsia="Times New Roman" w:hAnsi="Arial" w:cs="Arial"/>
          <w:color w:val="202A30"/>
          <w:sz w:val="24"/>
          <w:szCs w:val="24"/>
        </w:rPr>
        <w:t>over</w:t>
      </w:r>
      <w:proofErr w:type="gramEnd"/>
    </w:p>
    <w:p w14:paraId="6A52A62C" w14:textId="77777777" w:rsidR="000D3DEE" w:rsidRDefault="000D3DEE" w:rsidP="000D3DEE">
      <w:pPr>
        <w:numPr>
          <w:ilvl w:val="0"/>
          <w:numId w:val="1"/>
        </w:numPr>
        <w:spacing w:line="252" w:lineRule="auto"/>
        <w:rPr>
          <w:rFonts w:ascii="Arial" w:eastAsia="Times New Roman" w:hAnsi="Arial" w:cs="Arial"/>
          <w:color w:val="202A30"/>
          <w:sz w:val="24"/>
          <w:szCs w:val="24"/>
        </w:rPr>
      </w:pPr>
      <w:r>
        <w:rPr>
          <w:rFonts w:ascii="Arial" w:eastAsia="Times New Roman" w:hAnsi="Arial" w:cs="Arial"/>
          <w:color w:val="202A30"/>
          <w:sz w:val="24"/>
          <w:szCs w:val="24"/>
        </w:rPr>
        <w:t xml:space="preserve">individuals aged 12 years and over who are immunosuppressed, as defined in the </w:t>
      </w:r>
      <w:hyperlink r:id="rId7" w:history="1">
        <w:r>
          <w:rPr>
            <w:rStyle w:val="Hyperlink"/>
            <w:rFonts w:ascii="Arial" w:eastAsia="Times New Roman" w:hAnsi="Arial" w:cs="Arial"/>
            <w:sz w:val="24"/>
            <w:szCs w:val="24"/>
          </w:rPr>
          <w:t>Green Book</w:t>
        </w:r>
      </w:hyperlink>
      <w:r>
        <w:rPr>
          <w:rFonts w:ascii="Arial" w:eastAsia="Times New Roman" w:hAnsi="Arial" w:cs="Arial"/>
          <w:color w:val="202A30"/>
          <w:sz w:val="24"/>
          <w:szCs w:val="24"/>
        </w:rPr>
        <w:t xml:space="preserve"> (tables 3 and 4).</w:t>
      </w:r>
    </w:p>
    <w:p w14:paraId="7FBDE6B5" w14:textId="77777777" w:rsidR="000D3DEE" w:rsidRDefault="000D3DEE" w:rsidP="000D3DEE">
      <w:pPr>
        <w:rPr>
          <w:rFonts w:ascii="Arial" w:hAnsi="Arial" w:cs="Arial"/>
          <w:color w:val="202A30"/>
          <w:sz w:val="24"/>
          <w:szCs w:val="24"/>
        </w:rPr>
      </w:pPr>
    </w:p>
    <w:p w14:paraId="3348B035" w14:textId="77777777" w:rsidR="000D3DEE" w:rsidRDefault="000D3DEE" w:rsidP="000D3DEE">
      <w:pPr>
        <w:rPr>
          <w:rFonts w:ascii="Arial" w:hAnsi="Arial" w:cs="Arial"/>
          <w:color w:val="202A30"/>
          <w:sz w:val="24"/>
          <w:szCs w:val="24"/>
        </w:rPr>
      </w:pPr>
      <w:r>
        <w:rPr>
          <w:rFonts w:ascii="Arial" w:hAnsi="Arial" w:cs="Arial"/>
          <w:color w:val="202A30"/>
          <w:sz w:val="24"/>
          <w:szCs w:val="24"/>
        </w:rPr>
        <w:t>This includes those who become immunosuppressed by 30 June.</w:t>
      </w:r>
    </w:p>
    <w:p w14:paraId="069C9DE0" w14:textId="77777777" w:rsidR="000D3DEE" w:rsidRDefault="000D3DEE" w:rsidP="000D3DEE">
      <w:pPr>
        <w:rPr>
          <w:rFonts w:ascii="Arial" w:hAnsi="Arial" w:cs="Arial"/>
          <w:color w:val="202A30"/>
          <w:sz w:val="24"/>
          <w:szCs w:val="24"/>
        </w:rPr>
      </w:pPr>
    </w:p>
    <w:p w14:paraId="41614BD4" w14:textId="77777777" w:rsidR="000D3DEE" w:rsidRDefault="000D3DEE" w:rsidP="000D3DEE">
      <w:pPr>
        <w:rPr>
          <w:rFonts w:ascii="Arial" w:hAnsi="Arial" w:cs="Arial"/>
          <w:sz w:val="24"/>
          <w:szCs w:val="24"/>
        </w:rPr>
      </w:pPr>
      <w:r>
        <w:rPr>
          <w:rFonts w:ascii="Arial" w:hAnsi="Arial" w:cs="Arial"/>
          <w:color w:val="202A30"/>
          <w:sz w:val="24"/>
          <w:szCs w:val="24"/>
        </w:rPr>
        <w:t xml:space="preserve">Sites that are vaccinating </w:t>
      </w:r>
      <w:r>
        <w:rPr>
          <w:rFonts w:ascii="Arial" w:hAnsi="Arial" w:cs="Arial"/>
          <w:sz w:val="24"/>
          <w:szCs w:val="24"/>
        </w:rPr>
        <w:t>c</w:t>
      </w:r>
      <w:r>
        <w:rPr>
          <w:rFonts w:ascii="Arial" w:hAnsi="Arial" w:cs="Arial"/>
          <w:color w:val="202A30"/>
          <w:sz w:val="24"/>
          <w:szCs w:val="24"/>
        </w:rPr>
        <w:t xml:space="preserve">hildren aged 5-11 years old </w:t>
      </w:r>
      <w:r>
        <w:rPr>
          <w:rFonts w:ascii="Arial" w:hAnsi="Arial" w:cs="Arial"/>
          <w:sz w:val="24"/>
          <w:szCs w:val="24"/>
        </w:rPr>
        <w:t xml:space="preserve">will be able to order </w:t>
      </w:r>
      <w:r>
        <w:rPr>
          <w:rFonts w:ascii="Arial" w:hAnsi="Arial" w:cs="Arial"/>
          <w:color w:val="202A30"/>
          <w:sz w:val="24"/>
          <w:szCs w:val="24"/>
        </w:rPr>
        <w:t>Comirnaty 10</w:t>
      </w:r>
      <w:r>
        <w:rPr>
          <w:rFonts w:ascii="Arial" w:hAnsi="Arial" w:cs="Arial"/>
          <w:sz w:val="24"/>
          <w:szCs w:val="24"/>
        </w:rPr>
        <w:t xml:space="preserve"> vaccine (paediatric Pfizer).</w:t>
      </w:r>
    </w:p>
    <w:p w14:paraId="4CA6D95C" w14:textId="77777777" w:rsidR="000D3DEE" w:rsidRDefault="000D3DEE" w:rsidP="000D3DEE">
      <w:pPr>
        <w:rPr>
          <w:rFonts w:ascii="Arial" w:hAnsi="Arial" w:cs="Arial"/>
          <w:b/>
          <w:bCs/>
          <w:sz w:val="24"/>
          <w:szCs w:val="24"/>
          <w:u w:val="single"/>
        </w:rPr>
      </w:pPr>
    </w:p>
    <w:p w14:paraId="37ED73FE" w14:textId="77777777" w:rsidR="000D3DEE" w:rsidRDefault="000D3DEE" w:rsidP="000D3DEE">
      <w:pPr>
        <w:rPr>
          <w:rFonts w:ascii="Arial" w:hAnsi="Arial" w:cs="Arial"/>
          <w:b/>
          <w:bCs/>
          <w:sz w:val="24"/>
          <w:szCs w:val="24"/>
          <w:u w:val="single"/>
        </w:rPr>
      </w:pPr>
      <w:r>
        <w:rPr>
          <w:rFonts w:ascii="Arial" w:hAnsi="Arial" w:cs="Arial"/>
          <w:b/>
          <w:bCs/>
          <w:sz w:val="24"/>
          <w:szCs w:val="24"/>
          <w:u w:val="single"/>
        </w:rPr>
        <w:lastRenderedPageBreak/>
        <w:t>Non-MRNA vaccine</w:t>
      </w:r>
    </w:p>
    <w:p w14:paraId="2B879B63" w14:textId="77777777" w:rsidR="000D3DEE" w:rsidRDefault="000D3DEE" w:rsidP="000D3DEE">
      <w:pPr>
        <w:pStyle w:val="ListParagraph"/>
        <w:numPr>
          <w:ilvl w:val="0"/>
          <w:numId w:val="2"/>
        </w:numPr>
        <w:rPr>
          <w:rFonts w:ascii="Arial" w:eastAsia="Times New Roman" w:hAnsi="Arial" w:cs="Arial"/>
          <w:color w:val="202A30"/>
          <w:sz w:val="24"/>
          <w:szCs w:val="24"/>
        </w:rPr>
      </w:pPr>
      <w:proofErr w:type="spellStart"/>
      <w:r>
        <w:rPr>
          <w:rFonts w:ascii="Arial" w:eastAsia="Times New Roman" w:hAnsi="Arial" w:cs="Arial"/>
          <w:color w:val="202A30"/>
          <w:sz w:val="24"/>
          <w:szCs w:val="24"/>
        </w:rPr>
        <w:t>VidPrevtyn</w:t>
      </w:r>
      <w:proofErr w:type="spellEnd"/>
      <w:r>
        <w:rPr>
          <w:rFonts w:ascii="Arial" w:eastAsia="Times New Roman" w:hAnsi="Arial" w:cs="Arial"/>
          <w:color w:val="202A30"/>
          <w:sz w:val="24"/>
          <w:szCs w:val="24"/>
        </w:rPr>
        <w:t xml:space="preserve"> Beta can be used as an mRNA alternative for those aged 65 years and over. Nuvaxovid remains an option for younger individuals where a clinically suitable alternative is required.</w:t>
      </w:r>
    </w:p>
    <w:p w14:paraId="0C60DCB7" w14:textId="77777777" w:rsidR="000D3DEE" w:rsidRDefault="000D3DEE" w:rsidP="000D3DEE">
      <w:pPr>
        <w:pStyle w:val="ListParagraph"/>
        <w:numPr>
          <w:ilvl w:val="0"/>
          <w:numId w:val="2"/>
        </w:numPr>
        <w:rPr>
          <w:rFonts w:ascii="Arial" w:eastAsia="Times New Roman" w:hAnsi="Arial" w:cs="Arial"/>
          <w:color w:val="202A30"/>
          <w:sz w:val="24"/>
          <w:szCs w:val="24"/>
        </w:rPr>
      </w:pPr>
      <w:r>
        <w:rPr>
          <w:rFonts w:ascii="Arial" w:eastAsia="Times New Roman" w:hAnsi="Arial" w:cs="Arial"/>
          <w:color w:val="202A30"/>
          <w:sz w:val="24"/>
          <w:szCs w:val="24"/>
        </w:rPr>
        <w:t xml:space="preserve">New supplies of Nuvaxovid will be made available for the Spring campaign – this new stock will expire on 31st May 2023. Systems should ensure that the small number of individuals who are known to require this vaccine type should be identified and offered vaccination in advance of this </w:t>
      </w:r>
      <w:proofErr w:type="gramStart"/>
      <w:r>
        <w:rPr>
          <w:rFonts w:ascii="Arial" w:eastAsia="Times New Roman" w:hAnsi="Arial" w:cs="Arial"/>
          <w:color w:val="202A30"/>
          <w:sz w:val="24"/>
          <w:szCs w:val="24"/>
        </w:rPr>
        <w:t>date</w:t>
      </w:r>
      <w:proofErr w:type="gramEnd"/>
    </w:p>
    <w:p w14:paraId="7B001159" w14:textId="77777777" w:rsidR="000D3DEE" w:rsidRDefault="000D3DEE" w:rsidP="000D3DEE">
      <w:pPr>
        <w:rPr>
          <w:rFonts w:ascii="Arial" w:hAnsi="Arial" w:cs="Arial"/>
          <w:b/>
          <w:bCs/>
          <w:sz w:val="24"/>
          <w:szCs w:val="24"/>
          <w:u w:val="single"/>
        </w:rPr>
      </w:pPr>
    </w:p>
    <w:p w14:paraId="4CA67E5D" w14:textId="77777777" w:rsidR="000D3DEE" w:rsidRDefault="000D3DEE" w:rsidP="000D3DEE">
      <w:pPr>
        <w:rPr>
          <w:rFonts w:ascii="Arial" w:hAnsi="Arial" w:cs="Arial"/>
          <w:b/>
          <w:bCs/>
          <w:sz w:val="24"/>
          <w:szCs w:val="24"/>
          <w:u w:val="single"/>
        </w:rPr>
      </w:pPr>
    </w:p>
    <w:p w14:paraId="2A4A9984" w14:textId="77777777" w:rsidR="000D3DEE" w:rsidRDefault="000D3DEE" w:rsidP="000D3DEE">
      <w:pPr>
        <w:rPr>
          <w:rFonts w:ascii="Arial" w:hAnsi="Arial" w:cs="Arial"/>
          <w:b/>
          <w:bCs/>
          <w:sz w:val="24"/>
          <w:szCs w:val="24"/>
          <w:u w:val="single"/>
        </w:rPr>
      </w:pPr>
      <w:r>
        <w:rPr>
          <w:rFonts w:ascii="Arial" w:hAnsi="Arial" w:cs="Arial"/>
          <w:b/>
          <w:bCs/>
          <w:sz w:val="24"/>
          <w:szCs w:val="24"/>
          <w:u w:val="single"/>
        </w:rPr>
        <w:t>Cohort Eligibility</w:t>
      </w:r>
    </w:p>
    <w:p w14:paraId="0AF02DBB" w14:textId="77777777" w:rsidR="000D3DEE" w:rsidRDefault="000D3DEE" w:rsidP="000D3DEE">
      <w:pPr>
        <w:rPr>
          <w:rFonts w:ascii="Arial" w:hAnsi="Arial" w:cs="Arial"/>
          <w:b/>
          <w:bCs/>
          <w:sz w:val="24"/>
          <w:szCs w:val="24"/>
          <w:u w:val="single"/>
        </w:rPr>
      </w:pPr>
    </w:p>
    <w:p w14:paraId="3B170B11" w14:textId="77777777" w:rsidR="000D3DEE" w:rsidRDefault="000D3DEE" w:rsidP="000D3DEE">
      <w:pPr>
        <w:rPr>
          <w:rFonts w:ascii="Arial" w:hAnsi="Arial" w:cs="Arial"/>
          <w:sz w:val="24"/>
          <w:szCs w:val="24"/>
        </w:rPr>
      </w:pPr>
      <w:r>
        <w:rPr>
          <w:rFonts w:ascii="Arial" w:hAnsi="Arial" w:cs="Arial"/>
          <w:sz w:val="24"/>
          <w:szCs w:val="24"/>
        </w:rPr>
        <w:t>Those that turn 75 before 30 June 2023 will be eligible for a vaccination at any point during the campaign (</w:t>
      </w:r>
      <w:proofErr w:type="gramStart"/>
      <w:r>
        <w:rPr>
          <w:rFonts w:ascii="Arial" w:hAnsi="Arial" w:cs="Arial"/>
          <w:sz w:val="24"/>
          <w:szCs w:val="24"/>
        </w:rPr>
        <w:t>i.e.</w:t>
      </w:r>
      <w:proofErr w:type="gramEnd"/>
      <w:r>
        <w:rPr>
          <w:rFonts w:ascii="Arial" w:hAnsi="Arial" w:cs="Arial"/>
          <w:sz w:val="24"/>
          <w:szCs w:val="24"/>
        </w:rPr>
        <w:t xml:space="preserve"> even when they’re 74). Those who are admitted to an older adult care home before 30 June will also become eligible.</w:t>
      </w:r>
    </w:p>
    <w:p w14:paraId="7E10647D" w14:textId="77777777" w:rsidR="000D3DEE" w:rsidRDefault="000D3DEE" w:rsidP="000D3DEE">
      <w:pPr>
        <w:rPr>
          <w:rFonts w:ascii="Arial" w:hAnsi="Arial" w:cs="Arial"/>
          <w:sz w:val="24"/>
          <w:szCs w:val="24"/>
        </w:rPr>
      </w:pPr>
    </w:p>
    <w:p w14:paraId="55EBFD07" w14:textId="77777777" w:rsidR="000D3DEE" w:rsidRDefault="000D3DEE" w:rsidP="000D3DEE">
      <w:pPr>
        <w:spacing w:line="216" w:lineRule="auto"/>
        <w:rPr>
          <w:rFonts w:ascii="Arial" w:hAnsi="Arial" w:cs="Arial"/>
          <w:b/>
          <w:bCs/>
          <w:color w:val="333333"/>
          <w:sz w:val="24"/>
          <w:szCs w:val="24"/>
          <w:u w:val="single"/>
        </w:rPr>
      </w:pPr>
      <w:r>
        <w:rPr>
          <w:rFonts w:ascii="Arial" w:hAnsi="Arial" w:cs="Arial"/>
          <w:b/>
          <w:bCs/>
          <w:color w:val="333333"/>
          <w:sz w:val="24"/>
          <w:szCs w:val="24"/>
          <w:u w:val="single"/>
        </w:rPr>
        <w:t>Evergreen</w:t>
      </w:r>
    </w:p>
    <w:p w14:paraId="5956EBDB" w14:textId="77777777" w:rsidR="000D3DEE" w:rsidRDefault="000D3DEE" w:rsidP="000D3DEE">
      <w:pPr>
        <w:spacing w:line="216" w:lineRule="auto"/>
        <w:rPr>
          <w:rFonts w:ascii="Arial" w:hAnsi="Arial" w:cs="Arial"/>
          <w:b/>
          <w:bCs/>
          <w:color w:val="333333"/>
          <w:sz w:val="24"/>
          <w:szCs w:val="24"/>
        </w:rPr>
      </w:pPr>
    </w:p>
    <w:p w14:paraId="76A30320" w14:textId="77777777" w:rsidR="000D3DEE" w:rsidRDefault="000D3DEE" w:rsidP="000D3DEE">
      <w:pPr>
        <w:shd w:val="clear" w:color="auto" w:fill="FFFFFF"/>
        <w:rPr>
          <w:rFonts w:ascii="Arial" w:hAnsi="Arial" w:cs="Arial"/>
          <w:color w:val="231F20"/>
          <w:sz w:val="24"/>
          <w:szCs w:val="24"/>
        </w:rPr>
      </w:pPr>
      <w:r>
        <w:rPr>
          <w:rFonts w:ascii="Arial" w:hAnsi="Arial" w:cs="Arial"/>
          <w:color w:val="231F20"/>
          <w:sz w:val="24"/>
          <w:szCs w:val="24"/>
        </w:rPr>
        <w:t xml:space="preserve">The </w:t>
      </w:r>
      <w:hyperlink r:id="rId8" w:history="1">
        <w:r>
          <w:rPr>
            <w:rStyle w:val="Hyperlink"/>
            <w:rFonts w:ascii="Arial" w:hAnsi="Arial" w:cs="Arial"/>
            <w:sz w:val="24"/>
            <w:szCs w:val="24"/>
            <w:lang w:val="en-US"/>
          </w:rPr>
          <w:t>Green Book</w:t>
        </w:r>
      </w:hyperlink>
      <w:r>
        <w:rPr>
          <w:rFonts w:ascii="Arial" w:hAnsi="Arial" w:cs="Arial"/>
          <w:color w:val="231F20"/>
          <w:sz w:val="24"/>
          <w:szCs w:val="24"/>
        </w:rPr>
        <w:t xml:space="preserve"> has been updated to recommend that a full booster dose of the bivalent mRNA vaccines can be offered when someone attends for primary vaccination.</w:t>
      </w:r>
      <w:bookmarkStart w:id="1" w:name="_Int_oGYqvcZK"/>
      <w:r>
        <w:rPr>
          <w:rFonts w:ascii="Arial" w:hAnsi="Arial" w:cs="Arial"/>
          <w:color w:val="231F20"/>
          <w:sz w:val="24"/>
          <w:szCs w:val="24"/>
        </w:rPr>
        <w:t xml:space="preserve"> </w:t>
      </w:r>
      <w:bookmarkEnd w:id="1"/>
      <w:r>
        <w:rPr>
          <w:rFonts w:ascii="Arial" w:hAnsi="Arial" w:cs="Arial"/>
          <w:color w:val="231F20"/>
          <w:sz w:val="24"/>
          <w:szCs w:val="24"/>
        </w:rPr>
        <w:t>Sites should therefore use Comirnaty Original/Omicron BA.4-5 vaccine for their primary dose appointments in those aged 12 years and over. This includes the third primary dose for those who were severely immunosuppressed at the time of their first or second dose.</w:t>
      </w:r>
    </w:p>
    <w:p w14:paraId="66BBE945" w14:textId="77777777" w:rsidR="000D3DEE" w:rsidRDefault="000D3DEE" w:rsidP="000D3DEE">
      <w:pPr>
        <w:rPr>
          <w:rFonts w:ascii="Arial" w:hAnsi="Arial" w:cs="Arial"/>
          <w:b/>
          <w:bCs/>
          <w:color w:val="333333"/>
          <w:sz w:val="24"/>
          <w:szCs w:val="24"/>
        </w:rPr>
      </w:pPr>
    </w:p>
    <w:p w14:paraId="51F0E5A4" w14:textId="77777777" w:rsidR="000D3DEE" w:rsidRDefault="000D3DEE" w:rsidP="000D3DEE">
      <w:pPr>
        <w:shd w:val="clear" w:color="auto" w:fill="FFFFFF"/>
        <w:spacing w:line="252" w:lineRule="auto"/>
        <w:rPr>
          <w:rFonts w:ascii="Arial" w:hAnsi="Arial" w:cs="Arial"/>
          <w:sz w:val="24"/>
          <w:szCs w:val="24"/>
          <w:lang w:val="en-US"/>
        </w:rPr>
      </w:pPr>
      <w:r>
        <w:rPr>
          <w:rFonts w:ascii="Arial" w:hAnsi="Arial" w:cs="Arial"/>
          <w:color w:val="231F20"/>
          <w:sz w:val="24"/>
          <w:szCs w:val="24"/>
        </w:rPr>
        <w:t xml:space="preserve">JCVI has also advised that from </w:t>
      </w:r>
      <w:r>
        <w:rPr>
          <w:rFonts w:ascii="Arial" w:hAnsi="Arial" w:cs="Arial"/>
          <w:color w:val="231F20"/>
          <w:sz w:val="24"/>
          <w:szCs w:val="24"/>
          <w:lang w:val="en-US"/>
        </w:rPr>
        <w:t xml:space="preserve">the end of the Spring 2023 vaccine campaign, the primary course of COVID-19 vaccine will become a targeted offer to those at higher risk and only during seasonal campaigns. </w:t>
      </w:r>
      <w:r>
        <w:rPr>
          <w:rFonts w:ascii="Arial" w:hAnsi="Arial" w:cs="Arial"/>
          <w:color w:val="000000"/>
          <w:sz w:val="24"/>
          <w:szCs w:val="24"/>
          <w:lang w:val="en-US"/>
        </w:rPr>
        <w:t xml:space="preserve">The main exception to this would be unvaccinated individuals aged five years and above who become severely immunosuppressed outside of a seasonal campaign. These individuals should be considered for catch-up primary vaccination or additional dose(s), regardless of the time of year. Clinical judgement should be used to decide on the best timing to commence vaccination. </w:t>
      </w:r>
    </w:p>
    <w:p w14:paraId="21A69BCC" w14:textId="77777777" w:rsidR="000D3DEE" w:rsidRDefault="000D3DEE" w:rsidP="000D3DEE">
      <w:pPr>
        <w:rPr>
          <w:rFonts w:ascii="Arial" w:hAnsi="Arial" w:cs="Arial"/>
          <w:sz w:val="24"/>
          <w:szCs w:val="24"/>
        </w:rPr>
      </w:pPr>
    </w:p>
    <w:p w14:paraId="0FB3A513" w14:textId="77777777" w:rsidR="000D3DEE" w:rsidRDefault="000D3DEE" w:rsidP="000D3DEE">
      <w:pPr>
        <w:spacing w:line="216" w:lineRule="auto"/>
        <w:rPr>
          <w:rFonts w:ascii="Arial" w:hAnsi="Arial" w:cs="Arial"/>
          <w:b/>
          <w:bCs/>
          <w:color w:val="333333"/>
          <w:sz w:val="24"/>
          <w:szCs w:val="24"/>
        </w:rPr>
      </w:pPr>
    </w:p>
    <w:p w14:paraId="79D073B6" w14:textId="77777777" w:rsidR="000D3DEE" w:rsidRDefault="000D3DEE" w:rsidP="000D3DEE">
      <w:pPr>
        <w:spacing w:line="216" w:lineRule="auto"/>
        <w:rPr>
          <w:rFonts w:ascii="Arial" w:hAnsi="Arial" w:cs="Arial"/>
          <w:b/>
          <w:bCs/>
          <w:color w:val="333333"/>
          <w:sz w:val="24"/>
          <w:szCs w:val="24"/>
          <w:u w:val="single"/>
        </w:rPr>
      </w:pPr>
      <w:r>
        <w:rPr>
          <w:rFonts w:ascii="Arial" w:hAnsi="Arial" w:cs="Arial"/>
          <w:b/>
          <w:bCs/>
          <w:color w:val="333333"/>
          <w:sz w:val="24"/>
          <w:szCs w:val="24"/>
          <w:u w:val="single"/>
        </w:rPr>
        <w:t>Vaccine Assurance Requirements</w:t>
      </w:r>
    </w:p>
    <w:p w14:paraId="4CF3F498" w14:textId="77777777" w:rsidR="000D3DEE" w:rsidRDefault="000D3DEE" w:rsidP="000D3DEE">
      <w:pPr>
        <w:spacing w:line="216" w:lineRule="auto"/>
        <w:rPr>
          <w:rFonts w:ascii="Arial" w:hAnsi="Arial" w:cs="Arial"/>
          <w:b/>
          <w:bCs/>
          <w:color w:val="333333"/>
          <w:sz w:val="24"/>
          <w:szCs w:val="24"/>
        </w:rPr>
      </w:pPr>
    </w:p>
    <w:p w14:paraId="45FB3F37" w14:textId="77777777" w:rsidR="000D3DEE" w:rsidRDefault="000D3DEE" w:rsidP="000D3DEE">
      <w:pPr>
        <w:numPr>
          <w:ilvl w:val="0"/>
          <w:numId w:val="3"/>
        </w:numPr>
        <w:spacing w:line="252" w:lineRule="auto"/>
        <w:rPr>
          <w:rFonts w:ascii="Arial" w:eastAsia="Times New Roman" w:hAnsi="Arial" w:cs="Arial"/>
          <w:color w:val="202A30"/>
          <w:sz w:val="24"/>
          <w:szCs w:val="24"/>
        </w:rPr>
      </w:pPr>
      <w:r>
        <w:rPr>
          <w:rFonts w:ascii="Arial" w:eastAsia="Times New Roman" w:hAnsi="Arial" w:cs="Arial"/>
          <w:color w:val="202A30"/>
          <w:sz w:val="24"/>
          <w:szCs w:val="24"/>
        </w:rPr>
        <w:t xml:space="preserve">All COVID-19 vaccines now supplied are licensed by the MHRA. They are both sensitive biological substances and Prescription-Only Medicines (POMs). Commissioner and provider organisations responsible for the delivery of vaccination programmes in England should ensure that local practice is in accordance with national policy and best practice guidelines. The Department of Health provides a </w:t>
      </w:r>
      <w:hyperlink r:id="rId9" w:history="1">
        <w:r>
          <w:rPr>
            <w:rStyle w:val="Hyperlink"/>
            <w:rFonts w:ascii="Arial" w:eastAsia="Times New Roman" w:hAnsi="Arial" w:cs="Arial"/>
            <w:sz w:val="24"/>
            <w:szCs w:val="24"/>
          </w:rPr>
          <w:t>protocol</w:t>
        </w:r>
      </w:hyperlink>
      <w:r>
        <w:rPr>
          <w:rFonts w:ascii="Arial" w:eastAsia="Times New Roman" w:hAnsi="Arial" w:cs="Arial"/>
          <w:color w:val="231F20"/>
          <w:sz w:val="24"/>
          <w:szCs w:val="24"/>
        </w:rPr>
        <w:t xml:space="preserve"> </w:t>
      </w:r>
      <w:r>
        <w:rPr>
          <w:rFonts w:ascii="Arial" w:eastAsia="Times New Roman" w:hAnsi="Arial" w:cs="Arial"/>
          <w:color w:val="202A30"/>
          <w:sz w:val="24"/>
          <w:szCs w:val="24"/>
        </w:rPr>
        <w:t>that covers the minimum standards expected of professionals responsible for vaccination. The national team is in the process of reviewing and updating operational systems in respect of assurance requirements.</w:t>
      </w:r>
    </w:p>
    <w:p w14:paraId="52B4EC35" w14:textId="77777777" w:rsidR="000D3DEE" w:rsidRDefault="000D3DEE" w:rsidP="000D3DEE">
      <w:pPr>
        <w:numPr>
          <w:ilvl w:val="0"/>
          <w:numId w:val="3"/>
        </w:numPr>
        <w:spacing w:line="252" w:lineRule="auto"/>
        <w:rPr>
          <w:rFonts w:ascii="Arial" w:eastAsia="Times New Roman" w:hAnsi="Arial" w:cs="Arial"/>
          <w:color w:val="231F20"/>
          <w:sz w:val="24"/>
          <w:szCs w:val="24"/>
        </w:rPr>
      </w:pPr>
      <w:r>
        <w:rPr>
          <w:rFonts w:ascii="Arial" w:eastAsia="Times New Roman" w:hAnsi="Arial" w:cs="Arial"/>
          <w:color w:val="202A30"/>
          <w:sz w:val="24"/>
          <w:szCs w:val="24"/>
        </w:rPr>
        <w:t>The published</w:t>
      </w:r>
      <w:r>
        <w:rPr>
          <w:rFonts w:ascii="Arial" w:eastAsia="Times New Roman" w:hAnsi="Arial" w:cs="Arial"/>
          <w:color w:val="000000"/>
          <w:sz w:val="24"/>
          <w:szCs w:val="24"/>
        </w:rPr>
        <w:t xml:space="preserve"> </w:t>
      </w:r>
      <w:hyperlink r:id="rId10" w:history="1">
        <w:r>
          <w:rPr>
            <w:rStyle w:val="Hyperlink"/>
            <w:rFonts w:ascii="Arial" w:eastAsia="Times New Roman" w:hAnsi="Arial" w:cs="Arial"/>
            <w:sz w:val="24"/>
            <w:szCs w:val="24"/>
          </w:rPr>
          <w:t>Vaccine assurance checklist standardised</w:t>
        </w:r>
      </w:hyperlink>
      <w:r>
        <w:rPr>
          <w:rFonts w:ascii="Arial" w:eastAsia="Times New Roman" w:hAnsi="Arial" w:cs="Arial"/>
          <w:color w:val="000000"/>
          <w:sz w:val="24"/>
          <w:szCs w:val="24"/>
        </w:rPr>
        <w:t xml:space="preserve"> is available on </w:t>
      </w:r>
      <w:proofErr w:type="spellStart"/>
      <w:r>
        <w:rPr>
          <w:rFonts w:ascii="Arial" w:eastAsia="Times New Roman" w:hAnsi="Arial" w:cs="Arial"/>
          <w:color w:val="000000"/>
          <w:sz w:val="24"/>
          <w:szCs w:val="24"/>
        </w:rPr>
        <w:t>FutureNHS</w:t>
      </w:r>
      <w:proofErr w:type="spellEnd"/>
      <w:r>
        <w:rPr>
          <w:rFonts w:ascii="Arial" w:eastAsia="Times New Roman" w:hAnsi="Arial" w:cs="Arial"/>
          <w:color w:val="000000"/>
          <w:sz w:val="24"/>
          <w:szCs w:val="24"/>
        </w:rPr>
        <w:t xml:space="preserve"> for </w:t>
      </w:r>
      <w:r>
        <w:rPr>
          <w:rFonts w:ascii="Arial" w:eastAsia="Times New Roman" w:hAnsi="Arial" w:cs="Arial"/>
          <w:sz w:val="24"/>
          <w:szCs w:val="24"/>
        </w:rPr>
        <w:t>Region/ICBs</w:t>
      </w:r>
      <w:r>
        <w:rPr>
          <w:rFonts w:ascii="Arial" w:eastAsia="Times New Roman" w:hAnsi="Arial" w:cs="Arial"/>
          <w:color w:val="000000"/>
          <w:sz w:val="24"/>
          <w:szCs w:val="24"/>
        </w:rPr>
        <w:t xml:space="preserve"> to use at their discretion, as a tool </w:t>
      </w:r>
      <w:r>
        <w:rPr>
          <w:rFonts w:ascii="Arial" w:eastAsia="Times New Roman" w:hAnsi="Arial" w:cs="Arial"/>
          <w:color w:val="231F20"/>
          <w:sz w:val="24"/>
          <w:szCs w:val="24"/>
        </w:rPr>
        <w:t>for site vaccine readiness.</w:t>
      </w:r>
      <w:r>
        <w:rPr>
          <w:rFonts w:ascii="Arial" w:eastAsia="Times New Roman" w:hAnsi="Arial" w:cs="Arial"/>
          <w:sz w:val="24"/>
          <w:szCs w:val="24"/>
        </w:rPr>
        <w:t xml:space="preserve"> </w:t>
      </w:r>
    </w:p>
    <w:p w14:paraId="01D6952F" w14:textId="77777777" w:rsidR="000D3DEE" w:rsidRDefault="000D3DEE" w:rsidP="000D3DEE">
      <w:pPr>
        <w:numPr>
          <w:ilvl w:val="0"/>
          <w:numId w:val="3"/>
        </w:numPr>
        <w:spacing w:line="252" w:lineRule="auto"/>
        <w:rPr>
          <w:rFonts w:ascii="Arial" w:eastAsia="Times New Roman" w:hAnsi="Arial" w:cs="Arial"/>
          <w:sz w:val="24"/>
          <w:szCs w:val="24"/>
        </w:rPr>
      </w:pPr>
      <w:r>
        <w:rPr>
          <w:rFonts w:ascii="Arial" w:eastAsia="Times New Roman" w:hAnsi="Arial" w:cs="Arial"/>
          <w:color w:val="202A30"/>
          <w:sz w:val="24"/>
          <w:szCs w:val="24"/>
        </w:rPr>
        <w:lastRenderedPageBreak/>
        <w:t xml:space="preserve">Regions are no longer required to complete specific vaccine assurance questions on Foundry </w:t>
      </w:r>
      <w:r>
        <w:rPr>
          <w:rFonts w:ascii="Arial" w:eastAsia="Times New Roman" w:hAnsi="Arial" w:cs="Arial"/>
          <w:color w:val="202A30"/>
          <w:sz w:val="24"/>
          <w:szCs w:val="24"/>
          <w:u w:val="single"/>
        </w:rPr>
        <w:t>for e</w:t>
      </w:r>
      <w:r>
        <w:rPr>
          <w:rFonts w:ascii="Arial" w:eastAsia="Times New Roman" w:hAnsi="Arial" w:cs="Arial"/>
          <w:color w:val="231F20"/>
          <w:sz w:val="24"/>
          <w:szCs w:val="24"/>
          <w:u w:val="single"/>
        </w:rPr>
        <w:t>xisting sites</w:t>
      </w:r>
      <w:r>
        <w:rPr>
          <w:rFonts w:ascii="Arial" w:eastAsia="Times New Roman" w:hAnsi="Arial" w:cs="Arial"/>
          <w:color w:val="231F20"/>
          <w:sz w:val="24"/>
          <w:szCs w:val="24"/>
        </w:rPr>
        <w:t xml:space="preserve"> being activated for Spring. </w:t>
      </w:r>
    </w:p>
    <w:p w14:paraId="2025DD14" w14:textId="77777777" w:rsidR="000D3DEE" w:rsidRDefault="000D3DEE" w:rsidP="000D3DEE">
      <w:pPr>
        <w:numPr>
          <w:ilvl w:val="0"/>
          <w:numId w:val="3"/>
        </w:numPr>
        <w:spacing w:line="252" w:lineRule="auto"/>
        <w:rPr>
          <w:rFonts w:ascii="Arial" w:eastAsia="Times New Roman" w:hAnsi="Arial" w:cs="Arial"/>
          <w:color w:val="231F20"/>
          <w:sz w:val="24"/>
          <w:szCs w:val="24"/>
        </w:rPr>
      </w:pPr>
      <w:r>
        <w:rPr>
          <w:rFonts w:ascii="Arial" w:eastAsia="Times New Roman" w:hAnsi="Arial" w:cs="Arial"/>
          <w:color w:val="231F20"/>
          <w:sz w:val="24"/>
          <w:szCs w:val="24"/>
        </w:rPr>
        <w:t>To support regions, the national team will confirm vaccine assurance in Foundry for</w:t>
      </w:r>
      <w:r>
        <w:rPr>
          <w:rFonts w:ascii="Arial" w:eastAsia="Times New Roman" w:hAnsi="Arial" w:cs="Arial"/>
          <w:color w:val="202A30"/>
          <w:sz w:val="24"/>
          <w:szCs w:val="24"/>
        </w:rPr>
        <w:t xml:space="preserve"> </w:t>
      </w:r>
      <w:proofErr w:type="spellStart"/>
      <w:r>
        <w:rPr>
          <w:rFonts w:ascii="Arial" w:eastAsia="Times New Roman" w:hAnsi="Arial" w:cs="Arial"/>
          <w:color w:val="202A30"/>
          <w:sz w:val="24"/>
          <w:szCs w:val="24"/>
        </w:rPr>
        <w:t>VidPrevtyn</w:t>
      </w:r>
      <w:proofErr w:type="spellEnd"/>
      <w:r>
        <w:rPr>
          <w:rFonts w:ascii="Arial" w:eastAsia="Times New Roman" w:hAnsi="Arial" w:cs="Arial"/>
          <w:color w:val="202A30"/>
          <w:sz w:val="24"/>
          <w:szCs w:val="24"/>
        </w:rPr>
        <w:t xml:space="preserve"> Beta and </w:t>
      </w:r>
      <w:r>
        <w:rPr>
          <w:rFonts w:ascii="Arial" w:eastAsia="Times New Roman" w:hAnsi="Arial" w:cs="Arial"/>
          <w:color w:val="231F20"/>
          <w:sz w:val="24"/>
          <w:szCs w:val="24"/>
        </w:rPr>
        <w:t xml:space="preserve">Comirnaty Original/Omicron BA.4-5 upon receipt of a site activation request – either via the system planning return or change control portal – until systems can be updated to remove this requirement. If the regional team are not assured and do not want a specific site to be able to order vaccine at the point of activation this should be flagged via the system planning returns or email to the </w:t>
      </w:r>
      <w:hyperlink r:id="rId11" w:history="1">
        <w:r>
          <w:rPr>
            <w:rStyle w:val="Hyperlink"/>
            <w:rFonts w:ascii="Arial" w:eastAsia="Times New Roman" w:hAnsi="Arial" w:cs="Arial"/>
            <w:sz w:val="24"/>
            <w:szCs w:val="24"/>
          </w:rPr>
          <w:t>england.pccovidvaccine@nhs.net</w:t>
        </w:r>
      </w:hyperlink>
      <w:r>
        <w:rPr>
          <w:rFonts w:ascii="Arial" w:eastAsia="Times New Roman" w:hAnsi="Arial" w:cs="Arial"/>
          <w:color w:val="231F20"/>
          <w:sz w:val="24"/>
          <w:szCs w:val="24"/>
        </w:rPr>
        <w:t xml:space="preserve"> including the site name, postcode and ODS code. It is the regions responsibility to do this before vaccine is delivered. </w:t>
      </w:r>
    </w:p>
    <w:p w14:paraId="679F1A2A" w14:textId="77777777" w:rsidR="000D3DEE" w:rsidRDefault="000D3DEE" w:rsidP="000D3DEE">
      <w:pPr>
        <w:numPr>
          <w:ilvl w:val="0"/>
          <w:numId w:val="3"/>
        </w:numPr>
        <w:spacing w:line="252" w:lineRule="auto"/>
        <w:rPr>
          <w:rFonts w:ascii="Arial" w:eastAsia="Times New Roman" w:hAnsi="Arial" w:cs="Arial"/>
          <w:color w:val="231F20"/>
          <w:sz w:val="24"/>
          <w:szCs w:val="24"/>
        </w:rPr>
      </w:pPr>
      <w:r>
        <w:rPr>
          <w:rFonts w:ascii="Arial" w:eastAsia="Times New Roman" w:hAnsi="Arial" w:cs="Arial"/>
          <w:sz w:val="24"/>
          <w:szCs w:val="24"/>
        </w:rPr>
        <w:t xml:space="preserve">For newly designated sites, regional teams will need to complete existing site assurance processes on Foundry for activation and vaccine supply. This includes questions relating to vaccine assurance pending review for future campaigns. </w:t>
      </w:r>
      <w:r>
        <w:rPr>
          <w:rFonts w:ascii="Arial" w:eastAsia="Times New Roman" w:hAnsi="Arial" w:cs="Arial"/>
          <w:color w:val="231F20"/>
          <w:sz w:val="24"/>
          <w:szCs w:val="24"/>
        </w:rPr>
        <w:t xml:space="preserve">Regional teams should </w:t>
      </w:r>
      <w:r>
        <w:rPr>
          <w:rFonts w:ascii="Arial" w:eastAsia="Times New Roman" w:hAnsi="Arial" w:cs="Arial"/>
          <w:color w:val="202A30"/>
          <w:sz w:val="24"/>
          <w:szCs w:val="24"/>
        </w:rPr>
        <w:t xml:space="preserve">advise sites on their </w:t>
      </w:r>
      <w:r>
        <w:rPr>
          <w:rFonts w:ascii="Arial" w:eastAsia="Times New Roman" w:hAnsi="Arial" w:cs="Arial"/>
          <w:b/>
          <w:bCs/>
          <w:color w:val="202A30"/>
          <w:sz w:val="24"/>
          <w:szCs w:val="24"/>
          <w:u w:val="single"/>
        </w:rPr>
        <w:t>local</w:t>
      </w:r>
      <w:r>
        <w:rPr>
          <w:rFonts w:ascii="Arial" w:eastAsia="Times New Roman" w:hAnsi="Arial" w:cs="Arial"/>
          <w:color w:val="202A30"/>
          <w:sz w:val="24"/>
          <w:szCs w:val="24"/>
        </w:rPr>
        <w:t xml:space="preserve"> vaccine assurance and </w:t>
      </w:r>
      <w:r>
        <w:rPr>
          <w:rFonts w:ascii="Arial" w:eastAsia="Times New Roman" w:hAnsi="Arial" w:cs="Arial"/>
          <w:color w:val="231F20"/>
          <w:sz w:val="24"/>
          <w:szCs w:val="24"/>
        </w:rPr>
        <w:t xml:space="preserve">documentation requirements </w:t>
      </w:r>
      <w:r>
        <w:rPr>
          <w:rFonts w:ascii="Arial" w:eastAsia="Times New Roman" w:hAnsi="Arial" w:cs="Arial"/>
          <w:color w:val="202A30"/>
          <w:sz w:val="24"/>
          <w:szCs w:val="24"/>
        </w:rPr>
        <w:t>in accordance with national policy and best practice guidelines</w:t>
      </w:r>
      <w:r>
        <w:rPr>
          <w:rFonts w:ascii="Arial" w:eastAsia="Times New Roman" w:hAnsi="Arial" w:cs="Arial"/>
          <w:color w:val="231F20"/>
          <w:sz w:val="24"/>
          <w:szCs w:val="24"/>
        </w:rPr>
        <w:t>.</w:t>
      </w:r>
    </w:p>
    <w:p w14:paraId="5DBB9C31" w14:textId="77777777" w:rsidR="000D3DEE" w:rsidRDefault="000D3DEE" w:rsidP="000D3DEE">
      <w:pPr>
        <w:rPr>
          <w:rFonts w:ascii="Arial" w:hAnsi="Arial" w:cs="Arial"/>
          <w:color w:val="231F20"/>
          <w:sz w:val="24"/>
          <w:szCs w:val="24"/>
        </w:rPr>
      </w:pPr>
    </w:p>
    <w:p w14:paraId="0163E2F7" w14:textId="77777777" w:rsidR="000D3DEE" w:rsidRDefault="000D3DEE" w:rsidP="000D3DEE">
      <w:pPr>
        <w:rPr>
          <w:rFonts w:ascii="Arial" w:hAnsi="Arial" w:cs="Arial"/>
          <w:b/>
          <w:bCs/>
          <w:color w:val="231F20"/>
          <w:sz w:val="24"/>
          <w:szCs w:val="24"/>
          <w:u w:val="single"/>
        </w:rPr>
      </w:pPr>
      <w:r>
        <w:rPr>
          <w:rFonts w:ascii="Arial" w:hAnsi="Arial" w:cs="Arial"/>
          <w:b/>
          <w:bCs/>
          <w:color w:val="231F20"/>
          <w:sz w:val="24"/>
          <w:szCs w:val="24"/>
          <w:u w:val="single"/>
        </w:rPr>
        <w:t>Activation and Vaccine Supply for Spring</w:t>
      </w:r>
    </w:p>
    <w:p w14:paraId="7006C511" w14:textId="77777777" w:rsidR="000D3DEE" w:rsidRDefault="000D3DEE" w:rsidP="000D3DEE">
      <w:pPr>
        <w:rPr>
          <w:rFonts w:ascii="Arial" w:hAnsi="Arial" w:cs="Arial"/>
          <w:b/>
          <w:bCs/>
          <w:color w:val="231F20"/>
          <w:sz w:val="24"/>
          <w:szCs w:val="24"/>
        </w:rPr>
      </w:pPr>
    </w:p>
    <w:p w14:paraId="4EC304E1" w14:textId="77777777" w:rsidR="000D3DEE" w:rsidRDefault="000D3DEE" w:rsidP="000D3DEE">
      <w:pPr>
        <w:numPr>
          <w:ilvl w:val="0"/>
          <w:numId w:val="3"/>
        </w:numPr>
        <w:spacing w:line="252" w:lineRule="auto"/>
        <w:rPr>
          <w:rFonts w:ascii="Arial" w:eastAsia="Times New Roman" w:hAnsi="Arial" w:cs="Arial"/>
          <w:color w:val="231F20"/>
          <w:sz w:val="24"/>
          <w:szCs w:val="24"/>
        </w:rPr>
      </w:pPr>
      <w:r>
        <w:rPr>
          <w:rFonts w:ascii="Arial" w:eastAsia="Times New Roman" w:hAnsi="Arial" w:cs="Arial"/>
          <w:color w:val="231F20"/>
          <w:sz w:val="24"/>
          <w:szCs w:val="24"/>
        </w:rPr>
        <w:t xml:space="preserve">Site activation of existing sites for Spring via the system planning returns (including those un-pausing for this campaign) will take place on Monday 13 March. Un-paused sites will also be processed for inclusion on the new fixed delivery schedule on this date. Should colleagues need to raise queries post submission between 10 and 17 March they should contact the national team on </w:t>
      </w:r>
      <w:hyperlink r:id="rId12" w:history="1">
        <w:r>
          <w:rPr>
            <w:rStyle w:val="Hyperlink"/>
            <w:rFonts w:ascii="Arial" w:eastAsia="Times New Roman" w:hAnsi="Arial" w:cs="Arial"/>
            <w:sz w:val="24"/>
            <w:szCs w:val="24"/>
          </w:rPr>
          <w:t>england.pccovidvaccine@nhs.net</w:t>
        </w:r>
      </w:hyperlink>
      <w:r>
        <w:rPr>
          <w:rFonts w:ascii="Arial" w:eastAsia="Times New Roman" w:hAnsi="Arial" w:cs="Arial"/>
          <w:color w:val="231F20"/>
          <w:sz w:val="24"/>
          <w:szCs w:val="24"/>
        </w:rPr>
        <w:t xml:space="preserve"> in the first instance.</w:t>
      </w:r>
    </w:p>
    <w:p w14:paraId="2A9EF9BE" w14:textId="77777777" w:rsidR="000D3DEE" w:rsidRDefault="000D3DEE" w:rsidP="000D3DEE">
      <w:pPr>
        <w:numPr>
          <w:ilvl w:val="0"/>
          <w:numId w:val="3"/>
        </w:numPr>
        <w:spacing w:line="252" w:lineRule="auto"/>
        <w:rPr>
          <w:rFonts w:ascii="Arial" w:eastAsia="Times New Roman" w:hAnsi="Arial" w:cs="Arial"/>
          <w:color w:val="231F20"/>
          <w:sz w:val="24"/>
          <w:szCs w:val="24"/>
        </w:rPr>
      </w:pPr>
      <w:r>
        <w:rPr>
          <w:rFonts w:ascii="Arial" w:eastAsia="Times New Roman" w:hAnsi="Arial" w:cs="Arial"/>
          <w:color w:val="231F20"/>
          <w:sz w:val="24"/>
          <w:szCs w:val="24"/>
        </w:rPr>
        <w:t>From Monday 20 March</w:t>
      </w:r>
      <w:r>
        <w:rPr>
          <w:rFonts w:ascii="Arial" w:eastAsia="Times New Roman" w:hAnsi="Arial" w:cs="Arial"/>
          <w:sz w:val="24"/>
          <w:szCs w:val="24"/>
        </w:rPr>
        <w:t xml:space="preserve">, </w:t>
      </w:r>
      <w:r>
        <w:rPr>
          <w:rFonts w:ascii="Arial" w:eastAsia="Times New Roman" w:hAnsi="Arial" w:cs="Arial"/>
          <w:color w:val="231F20"/>
          <w:sz w:val="24"/>
          <w:szCs w:val="24"/>
        </w:rPr>
        <w:t xml:space="preserve">any further updates to site status (including un-pause and re-activation for Spring) should be requested via the established Change Control portal. Activation will take place on a rolling 24-hour basis in line with normal process. Inclusion of these sites on the Spring fixed delivery schedule will take place </w:t>
      </w:r>
      <w:bookmarkStart w:id="2" w:name="_Int_DlrnlXY0"/>
      <w:r>
        <w:rPr>
          <w:rFonts w:ascii="Arial" w:eastAsia="Times New Roman" w:hAnsi="Arial" w:cs="Arial"/>
          <w:color w:val="231F20"/>
          <w:sz w:val="24"/>
          <w:szCs w:val="24"/>
        </w:rPr>
        <w:t>in due course</w:t>
      </w:r>
      <w:bookmarkEnd w:id="2"/>
      <w:r>
        <w:rPr>
          <w:rFonts w:ascii="Arial" w:eastAsia="Times New Roman" w:hAnsi="Arial" w:cs="Arial"/>
          <w:color w:val="231F20"/>
          <w:sz w:val="24"/>
          <w:szCs w:val="24"/>
        </w:rPr>
        <w:t xml:space="preserve">. </w:t>
      </w:r>
    </w:p>
    <w:p w14:paraId="2FDFA4DF" w14:textId="77777777" w:rsidR="000D3DEE" w:rsidRDefault="000D3DEE" w:rsidP="000D3DEE">
      <w:pPr>
        <w:numPr>
          <w:ilvl w:val="0"/>
          <w:numId w:val="3"/>
        </w:numPr>
        <w:spacing w:line="252" w:lineRule="auto"/>
        <w:rPr>
          <w:rFonts w:ascii="Arial" w:eastAsia="Times New Roman" w:hAnsi="Arial" w:cs="Arial"/>
          <w:color w:val="231F20"/>
          <w:sz w:val="24"/>
          <w:szCs w:val="24"/>
        </w:rPr>
      </w:pPr>
      <w:r>
        <w:rPr>
          <w:rFonts w:ascii="Arial" w:eastAsia="Times New Roman" w:hAnsi="Arial" w:cs="Arial"/>
          <w:color w:val="231F20"/>
          <w:sz w:val="24"/>
          <w:szCs w:val="24"/>
        </w:rPr>
        <w:t xml:space="preserve">Regions and </w:t>
      </w:r>
      <w:r>
        <w:rPr>
          <w:rFonts w:ascii="Arial" w:eastAsia="Times New Roman" w:hAnsi="Arial" w:cs="Arial"/>
          <w:sz w:val="24"/>
          <w:szCs w:val="24"/>
        </w:rPr>
        <w:t xml:space="preserve">ICBs </w:t>
      </w:r>
      <w:r>
        <w:rPr>
          <w:rFonts w:ascii="Arial" w:eastAsia="Times New Roman" w:hAnsi="Arial" w:cs="Arial"/>
          <w:color w:val="231F20"/>
          <w:sz w:val="24"/>
          <w:szCs w:val="24"/>
        </w:rPr>
        <w:t xml:space="preserve">can add all sites to the supply planner for </w:t>
      </w:r>
      <w:proofErr w:type="spellStart"/>
      <w:r>
        <w:rPr>
          <w:rFonts w:ascii="Arial" w:eastAsia="Times New Roman" w:hAnsi="Arial" w:cs="Arial"/>
          <w:color w:val="202A30"/>
          <w:sz w:val="24"/>
          <w:szCs w:val="24"/>
        </w:rPr>
        <w:t>VidPrevtyn</w:t>
      </w:r>
      <w:proofErr w:type="spellEnd"/>
      <w:r>
        <w:rPr>
          <w:rFonts w:ascii="Arial" w:eastAsia="Times New Roman" w:hAnsi="Arial" w:cs="Arial"/>
          <w:color w:val="202A30"/>
          <w:sz w:val="24"/>
          <w:szCs w:val="24"/>
        </w:rPr>
        <w:t xml:space="preserve"> Beta and </w:t>
      </w:r>
      <w:r>
        <w:rPr>
          <w:rFonts w:ascii="Arial" w:eastAsia="Times New Roman" w:hAnsi="Arial" w:cs="Arial"/>
          <w:color w:val="231F20"/>
          <w:sz w:val="24"/>
          <w:szCs w:val="24"/>
        </w:rPr>
        <w:t xml:space="preserve">Comirnaty Original/Omicron BA.4-5 within 24 hours of activation. </w:t>
      </w:r>
    </w:p>
    <w:p w14:paraId="31C4D75A" w14:textId="77777777" w:rsidR="000D3DEE" w:rsidRDefault="000D3DEE" w:rsidP="000D3DEE">
      <w:pPr>
        <w:numPr>
          <w:ilvl w:val="0"/>
          <w:numId w:val="3"/>
        </w:numPr>
        <w:spacing w:line="252" w:lineRule="auto"/>
        <w:rPr>
          <w:rFonts w:ascii="Arial" w:eastAsia="Times New Roman" w:hAnsi="Arial" w:cs="Arial"/>
          <w:color w:val="231F20"/>
          <w:sz w:val="24"/>
          <w:szCs w:val="24"/>
        </w:rPr>
      </w:pPr>
      <w:r>
        <w:rPr>
          <w:rFonts w:ascii="Arial" w:eastAsia="Times New Roman" w:hAnsi="Arial" w:cs="Arial"/>
          <w:color w:val="231F20"/>
          <w:sz w:val="24"/>
          <w:szCs w:val="24"/>
        </w:rPr>
        <w:t xml:space="preserve">Sites will be able to order vaccine once fixed delivery days have been confirmed by national for all sites continuing for </w:t>
      </w:r>
      <w:proofErr w:type="gramStart"/>
      <w:r>
        <w:rPr>
          <w:rFonts w:ascii="Arial" w:eastAsia="Times New Roman" w:hAnsi="Arial" w:cs="Arial"/>
          <w:color w:val="231F20"/>
          <w:sz w:val="24"/>
          <w:szCs w:val="24"/>
        </w:rPr>
        <w:t>Spring .</w:t>
      </w:r>
      <w:proofErr w:type="gramEnd"/>
      <w:r>
        <w:rPr>
          <w:rFonts w:ascii="Arial" w:eastAsia="Times New Roman" w:hAnsi="Arial" w:cs="Arial"/>
          <w:color w:val="231F20"/>
          <w:sz w:val="24"/>
          <w:szCs w:val="24"/>
        </w:rPr>
        <w:t xml:space="preserve"> N.B. newly designated sites and sites unpausing after system planning returns are processed on the 13 March will be allocated a fixed delivery day in due course.</w:t>
      </w:r>
    </w:p>
    <w:p w14:paraId="67867774" w14:textId="77777777" w:rsidR="000D3DEE" w:rsidRDefault="000D3DEE" w:rsidP="000D3DEE">
      <w:pPr>
        <w:rPr>
          <w:rFonts w:ascii="Arial" w:hAnsi="Arial" w:cs="Arial"/>
          <w:color w:val="202A30"/>
          <w:sz w:val="24"/>
          <w:szCs w:val="24"/>
        </w:rPr>
      </w:pPr>
    </w:p>
    <w:p w14:paraId="2CA17C3A" w14:textId="77777777" w:rsidR="000D3DEE" w:rsidRDefault="000D3DEE" w:rsidP="000D3DEE">
      <w:pPr>
        <w:rPr>
          <w:rFonts w:ascii="Arial" w:hAnsi="Arial" w:cs="Arial"/>
          <w:b/>
          <w:bCs/>
          <w:color w:val="202A30"/>
          <w:sz w:val="24"/>
          <w:szCs w:val="24"/>
          <w:u w:val="single"/>
        </w:rPr>
      </w:pPr>
      <w:r>
        <w:rPr>
          <w:rFonts w:ascii="Arial" w:hAnsi="Arial" w:cs="Arial"/>
          <w:b/>
          <w:bCs/>
          <w:color w:val="202A30"/>
          <w:sz w:val="24"/>
          <w:szCs w:val="24"/>
          <w:u w:val="single"/>
        </w:rPr>
        <w:t xml:space="preserve">Tech &amp; Data System </w:t>
      </w:r>
      <w:r>
        <w:rPr>
          <w:rFonts w:ascii="Arial" w:hAnsi="Arial" w:cs="Arial"/>
          <w:b/>
          <w:bCs/>
          <w:sz w:val="24"/>
          <w:szCs w:val="24"/>
          <w:u w:val="single"/>
        </w:rPr>
        <w:t>r</w:t>
      </w:r>
      <w:r>
        <w:rPr>
          <w:rFonts w:ascii="Arial" w:hAnsi="Arial" w:cs="Arial"/>
          <w:b/>
          <w:bCs/>
          <w:color w:val="202A30"/>
          <w:sz w:val="24"/>
          <w:szCs w:val="24"/>
          <w:u w:val="single"/>
        </w:rPr>
        <w:t>equirements</w:t>
      </w:r>
    </w:p>
    <w:p w14:paraId="4A2783CD" w14:textId="77777777" w:rsidR="000D3DEE" w:rsidRDefault="000D3DEE" w:rsidP="000D3DEE">
      <w:pPr>
        <w:rPr>
          <w:rFonts w:ascii="Arial" w:hAnsi="Arial" w:cs="Arial"/>
          <w:color w:val="202A30"/>
          <w:sz w:val="24"/>
          <w:szCs w:val="24"/>
        </w:rPr>
      </w:pPr>
    </w:p>
    <w:p w14:paraId="68F83B4B" w14:textId="77777777" w:rsidR="000D3DEE" w:rsidRDefault="000D3DEE" w:rsidP="000D3DEE">
      <w:pPr>
        <w:numPr>
          <w:ilvl w:val="0"/>
          <w:numId w:val="3"/>
        </w:numPr>
        <w:spacing w:line="252" w:lineRule="auto"/>
        <w:rPr>
          <w:rFonts w:ascii="Arial" w:eastAsia="Times New Roman" w:hAnsi="Arial" w:cs="Arial"/>
          <w:sz w:val="24"/>
          <w:szCs w:val="24"/>
        </w:rPr>
      </w:pPr>
      <w:r>
        <w:rPr>
          <w:rFonts w:ascii="Arial" w:eastAsia="Times New Roman" w:hAnsi="Arial" w:cs="Arial"/>
          <w:color w:val="202A30"/>
          <w:sz w:val="24"/>
          <w:szCs w:val="24"/>
        </w:rPr>
        <w:t xml:space="preserve">National Booking System (NBS) Calendars will become available for sites to add slots from 27 March. </w:t>
      </w:r>
    </w:p>
    <w:p w14:paraId="160794B3" w14:textId="77777777" w:rsidR="000D3DEE" w:rsidRDefault="000D3DEE" w:rsidP="000D3DEE">
      <w:pPr>
        <w:numPr>
          <w:ilvl w:val="0"/>
          <w:numId w:val="3"/>
        </w:numPr>
        <w:spacing w:line="252" w:lineRule="auto"/>
        <w:rPr>
          <w:rFonts w:ascii="Arial" w:eastAsia="Times New Roman" w:hAnsi="Arial" w:cs="Arial"/>
          <w:color w:val="202A30"/>
          <w:sz w:val="24"/>
          <w:szCs w:val="24"/>
        </w:rPr>
      </w:pPr>
      <w:r>
        <w:rPr>
          <w:rFonts w:ascii="Arial" w:eastAsia="Times New Roman" w:hAnsi="Arial" w:cs="Arial"/>
          <w:color w:val="202A30"/>
          <w:sz w:val="24"/>
          <w:szCs w:val="24"/>
        </w:rPr>
        <w:t xml:space="preserve">All sites should open their NBS calendars in a timely way from this date to allow people to book appointments from 5 April in advance of the start of the campaign on 17 April. </w:t>
      </w:r>
    </w:p>
    <w:p w14:paraId="3BE05272" w14:textId="77777777" w:rsidR="000D3DEE" w:rsidRDefault="000D3DEE" w:rsidP="000D3DEE">
      <w:pPr>
        <w:numPr>
          <w:ilvl w:val="0"/>
          <w:numId w:val="3"/>
        </w:numPr>
        <w:spacing w:line="252" w:lineRule="auto"/>
        <w:rPr>
          <w:rFonts w:ascii="Arial" w:eastAsia="Times New Roman" w:hAnsi="Arial" w:cs="Arial"/>
          <w:color w:val="202A30"/>
          <w:sz w:val="24"/>
          <w:szCs w:val="24"/>
        </w:rPr>
      </w:pPr>
      <w:r>
        <w:rPr>
          <w:rFonts w:ascii="Arial" w:eastAsia="Times New Roman" w:hAnsi="Arial" w:cs="Arial"/>
          <w:sz w:val="24"/>
          <w:szCs w:val="24"/>
        </w:rPr>
        <w:lastRenderedPageBreak/>
        <w:t>All sites should upload capacity for weeks commencing 17 and 24 April no later than 12.00 hours 3 April.</w:t>
      </w:r>
    </w:p>
    <w:p w14:paraId="27C7BAD4" w14:textId="77777777" w:rsidR="000D3DEE" w:rsidRDefault="000D3DEE" w:rsidP="000D3DEE">
      <w:pPr>
        <w:numPr>
          <w:ilvl w:val="0"/>
          <w:numId w:val="3"/>
        </w:numPr>
        <w:spacing w:line="252" w:lineRule="auto"/>
        <w:rPr>
          <w:rFonts w:ascii="Arial" w:eastAsia="Times New Roman" w:hAnsi="Arial" w:cs="Arial"/>
          <w:color w:val="202A30"/>
          <w:sz w:val="24"/>
          <w:szCs w:val="24"/>
        </w:rPr>
      </w:pPr>
      <w:r>
        <w:rPr>
          <w:rFonts w:ascii="Arial" w:eastAsia="Times New Roman" w:hAnsi="Arial" w:cs="Arial"/>
          <w:color w:val="202A30"/>
          <w:sz w:val="24"/>
          <w:szCs w:val="24"/>
        </w:rPr>
        <w:t>Regions are asked to ensure vaccine allocations are made available for sites in a timely way to ensure visibility of supply to support planning and opening of NBS calendars.</w:t>
      </w:r>
    </w:p>
    <w:p w14:paraId="34572192" w14:textId="77777777" w:rsidR="000D3DEE" w:rsidRDefault="000D3DEE" w:rsidP="000D3DEE">
      <w:pPr>
        <w:numPr>
          <w:ilvl w:val="0"/>
          <w:numId w:val="3"/>
        </w:numPr>
        <w:spacing w:line="252" w:lineRule="auto"/>
        <w:rPr>
          <w:rFonts w:ascii="Arial" w:eastAsia="Times New Roman" w:hAnsi="Arial" w:cs="Arial"/>
          <w:sz w:val="24"/>
          <w:szCs w:val="24"/>
        </w:rPr>
      </w:pPr>
      <w:r>
        <w:rPr>
          <w:rFonts w:ascii="Arial" w:eastAsia="Times New Roman" w:hAnsi="Arial" w:cs="Arial"/>
          <w:color w:val="202A30"/>
          <w:sz w:val="24"/>
          <w:szCs w:val="24"/>
        </w:rPr>
        <w:t>The point of care (POC) ‘drop-down’ menu of vaccine types may be longer in reflection of the fact we may be using vaccines not previously deployed in the programme during the Spring campaign. Sites should ensure that extra vigilance is used when selecting the vaccine type on the system.</w:t>
      </w:r>
    </w:p>
    <w:p w14:paraId="0DAFAD9E" w14:textId="77777777" w:rsidR="000D3DEE" w:rsidRDefault="000D3DEE" w:rsidP="000D3DEE">
      <w:pPr>
        <w:shd w:val="clear" w:color="auto" w:fill="FFFFFF"/>
        <w:spacing w:line="252" w:lineRule="auto"/>
        <w:rPr>
          <w:rFonts w:ascii="Arial" w:hAnsi="Arial" w:cs="Arial"/>
          <w:color w:val="4D4D4D"/>
          <w:sz w:val="24"/>
          <w:szCs w:val="24"/>
        </w:rPr>
      </w:pPr>
    </w:p>
    <w:p w14:paraId="27A43621" w14:textId="77777777" w:rsidR="000D3DEE" w:rsidRDefault="000D3DEE" w:rsidP="000D3DEE">
      <w:pPr>
        <w:shd w:val="clear" w:color="auto" w:fill="FFFFFF"/>
        <w:spacing w:line="252" w:lineRule="auto"/>
        <w:rPr>
          <w:rFonts w:ascii="Arial" w:hAnsi="Arial" w:cs="Arial"/>
          <w:sz w:val="24"/>
          <w:szCs w:val="24"/>
          <w:u w:val="single"/>
        </w:rPr>
      </w:pPr>
      <w:r>
        <w:rPr>
          <w:rFonts w:ascii="Arial" w:hAnsi="Arial" w:cs="Arial"/>
          <w:b/>
          <w:bCs/>
          <w:color w:val="231F20"/>
          <w:sz w:val="24"/>
          <w:szCs w:val="24"/>
          <w:u w:val="single"/>
        </w:rPr>
        <w:t>Surge Response</w:t>
      </w:r>
    </w:p>
    <w:p w14:paraId="61BD5E83" w14:textId="77777777" w:rsidR="000D3DEE" w:rsidRDefault="000D3DEE" w:rsidP="000D3DEE">
      <w:pPr>
        <w:shd w:val="clear" w:color="auto" w:fill="FFFFFF"/>
        <w:rPr>
          <w:rFonts w:ascii="Arial" w:hAnsi="Arial" w:cs="Arial"/>
          <w:b/>
          <w:bCs/>
          <w:color w:val="231F20"/>
          <w:sz w:val="24"/>
          <w:szCs w:val="24"/>
        </w:rPr>
      </w:pPr>
    </w:p>
    <w:p w14:paraId="38DFAF37" w14:textId="77777777" w:rsidR="000D3DEE" w:rsidRDefault="000D3DEE" w:rsidP="000D3DEE">
      <w:pPr>
        <w:rPr>
          <w:rFonts w:ascii="Arial" w:hAnsi="Arial" w:cs="Arial"/>
          <w:color w:val="231F20"/>
          <w:sz w:val="24"/>
          <w:szCs w:val="24"/>
        </w:rPr>
      </w:pPr>
      <w:r>
        <w:rPr>
          <w:rFonts w:ascii="Arial" w:hAnsi="Arial" w:cs="Arial"/>
          <w:color w:val="231F20"/>
          <w:sz w:val="24"/>
          <w:szCs w:val="24"/>
        </w:rPr>
        <w:t>Systems are asked to further develop and test their surge plans, and to consider how they would rapidly deploy Covid-19 vaccination in the event of a surge during the Spring Vaccination campaign.</w:t>
      </w:r>
    </w:p>
    <w:p w14:paraId="7851B2D5" w14:textId="77777777" w:rsidR="000D3DEE" w:rsidRDefault="000D3DEE" w:rsidP="000D3DEE">
      <w:pPr>
        <w:rPr>
          <w:rFonts w:ascii="Arial" w:hAnsi="Arial" w:cs="Arial"/>
          <w:color w:val="231F20"/>
          <w:sz w:val="24"/>
          <w:szCs w:val="24"/>
        </w:rPr>
      </w:pPr>
    </w:p>
    <w:p w14:paraId="71469E1F" w14:textId="77777777" w:rsidR="000D3DEE" w:rsidRDefault="000D3DEE" w:rsidP="000D3DEE">
      <w:pPr>
        <w:rPr>
          <w:rFonts w:ascii="Arial" w:hAnsi="Arial" w:cs="Arial"/>
          <w:color w:val="231F20"/>
          <w:sz w:val="24"/>
          <w:szCs w:val="24"/>
        </w:rPr>
      </w:pPr>
      <w:r>
        <w:rPr>
          <w:rFonts w:ascii="Arial" w:hAnsi="Arial" w:cs="Arial"/>
          <w:color w:val="231F20"/>
          <w:sz w:val="24"/>
          <w:szCs w:val="24"/>
        </w:rPr>
        <w:t xml:space="preserve">To enable regions to do this the Surge Planning Guidance will be updated and will be posted on the </w:t>
      </w:r>
      <w:proofErr w:type="spellStart"/>
      <w:r>
        <w:rPr>
          <w:rFonts w:ascii="Arial" w:hAnsi="Arial" w:cs="Arial"/>
          <w:color w:val="231F20"/>
          <w:sz w:val="24"/>
          <w:szCs w:val="24"/>
        </w:rPr>
        <w:t>FutureNHS</w:t>
      </w:r>
      <w:proofErr w:type="spellEnd"/>
      <w:r>
        <w:rPr>
          <w:rFonts w:ascii="Arial" w:hAnsi="Arial" w:cs="Arial"/>
          <w:color w:val="231F20"/>
          <w:sz w:val="24"/>
          <w:szCs w:val="24"/>
        </w:rPr>
        <w:t xml:space="preserve"> website.</w:t>
      </w:r>
    </w:p>
    <w:p w14:paraId="3D2CF822" w14:textId="77777777" w:rsidR="000D3DEE" w:rsidRDefault="000D3DEE" w:rsidP="000D3DEE">
      <w:pPr>
        <w:rPr>
          <w:rFonts w:ascii="Arial" w:hAnsi="Arial" w:cs="Arial"/>
          <w:color w:val="231F20"/>
          <w:sz w:val="24"/>
          <w:szCs w:val="24"/>
        </w:rPr>
      </w:pPr>
    </w:p>
    <w:p w14:paraId="01380759" w14:textId="77777777" w:rsidR="000D3DEE" w:rsidRDefault="000D3DEE" w:rsidP="000D3DEE">
      <w:pPr>
        <w:rPr>
          <w:rFonts w:ascii="Arial" w:hAnsi="Arial" w:cs="Arial"/>
          <w:b/>
          <w:bCs/>
          <w:color w:val="231F20"/>
          <w:sz w:val="24"/>
          <w:szCs w:val="24"/>
          <w:u w:val="single"/>
        </w:rPr>
      </w:pPr>
      <w:r>
        <w:rPr>
          <w:rFonts w:ascii="Arial" w:hAnsi="Arial" w:cs="Arial"/>
          <w:b/>
          <w:bCs/>
          <w:color w:val="231F20"/>
          <w:sz w:val="24"/>
          <w:szCs w:val="24"/>
          <w:u w:val="single"/>
        </w:rPr>
        <w:t>Contractual Arrangements</w:t>
      </w:r>
    </w:p>
    <w:p w14:paraId="5D7E9063" w14:textId="77777777" w:rsidR="000D3DEE" w:rsidRDefault="000D3DEE" w:rsidP="000D3DEE">
      <w:pPr>
        <w:rPr>
          <w:rFonts w:ascii="Arial" w:hAnsi="Arial" w:cs="Arial"/>
          <w:color w:val="231F20"/>
          <w:sz w:val="24"/>
          <w:szCs w:val="24"/>
        </w:rPr>
      </w:pPr>
    </w:p>
    <w:p w14:paraId="5B760280" w14:textId="77777777" w:rsidR="000D3DEE" w:rsidRDefault="000D3DEE" w:rsidP="000D3DEE">
      <w:pPr>
        <w:rPr>
          <w:rFonts w:ascii="Arial" w:hAnsi="Arial" w:cs="Arial"/>
          <w:color w:val="231F20"/>
          <w:sz w:val="24"/>
          <w:szCs w:val="24"/>
        </w:rPr>
      </w:pPr>
      <w:r>
        <w:rPr>
          <w:rFonts w:ascii="Arial" w:hAnsi="Arial" w:cs="Arial"/>
          <w:color w:val="231F20"/>
          <w:sz w:val="24"/>
          <w:szCs w:val="24"/>
        </w:rPr>
        <w:t>We are currently finalising the Spring/Summer COVID-19 vaccination contracts in discussion with professional bodies and will publish these shortly.</w:t>
      </w:r>
    </w:p>
    <w:p w14:paraId="594ADA51" w14:textId="77777777" w:rsidR="000D3DEE" w:rsidRDefault="000D3DEE" w:rsidP="000D3DEE">
      <w:pPr>
        <w:rPr>
          <w:rFonts w:ascii="Arial" w:hAnsi="Arial" w:cs="Arial"/>
          <w:color w:val="231F20"/>
          <w:sz w:val="24"/>
          <w:szCs w:val="24"/>
        </w:rPr>
      </w:pPr>
    </w:p>
    <w:p w14:paraId="27A62BE5" w14:textId="77777777" w:rsidR="000D3DEE" w:rsidRDefault="000D3DEE" w:rsidP="000D3DEE">
      <w:pPr>
        <w:spacing w:line="276" w:lineRule="auto"/>
        <w:rPr>
          <w:rFonts w:ascii="Arial" w:hAnsi="Arial" w:cs="Arial"/>
          <w:b/>
          <w:bCs/>
          <w:color w:val="231F20"/>
          <w:sz w:val="24"/>
          <w:szCs w:val="24"/>
          <w:u w:val="single"/>
        </w:rPr>
      </w:pPr>
      <w:r>
        <w:rPr>
          <w:rFonts w:ascii="Arial" w:hAnsi="Arial" w:cs="Arial"/>
          <w:b/>
          <w:bCs/>
          <w:color w:val="231F20"/>
          <w:sz w:val="24"/>
          <w:szCs w:val="24"/>
          <w:u w:val="single"/>
        </w:rPr>
        <w:t>Next Steps</w:t>
      </w:r>
    </w:p>
    <w:p w14:paraId="2CEEBB32" w14:textId="77777777" w:rsidR="000D3DEE" w:rsidRDefault="000D3DEE" w:rsidP="000D3DEE">
      <w:pPr>
        <w:spacing w:line="276" w:lineRule="auto"/>
        <w:rPr>
          <w:rFonts w:ascii="Arial" w:hAnsi="Arial" w:cs="Arial"/>
          <w:b/>
          <w:bCs/>
          <w:color w:val="231F20"/>
          <w:sz w:val="24"/>
          <w:szCs w:val="24"/>
        </w:rPr>
      </w:pPr>
    </w:p>
    <w:p w14:paraId="5D90402F" w14:textId="77777777" w:rsidR="000D3DEE" w:rsidRDefault="000D3DEE" w:rsidP="000D3DEE">
      <w:pPr>
        <w:rPr>
          <w:rFonts w:ascii="Arial" w:hAnsi="Arial" w:cs="Arial"/>
          <w:color w:val="231F20"/>
          <w:sz w:val="24"/>
          <w:szCs w:val="24"/>
        </w:rPr>
      </w:pPr>
      <w:r>
        <w:rPr>
          <w:rFonts w:ascii="Arial" w:hAnsi="Arial" w:cs="Arial"/>
          <w:color w:val="231F20"/>
          <w:sz w:val="24"/>
          <w:szCs w:val="24"/>
        </w:rPr>
        <w:t xml:space="preserve">Upon receipt of this letter, we ask systems to finalise their Spring Vaccination plans, working with regional teams and providers to understand their capacity to deliver the programme as outlined in </w:t>
      </w:r>
      <w:hyperlink r:id="rId13" w:history="1">
        <w:r>
          <w:rPr>
            <w:rStyle w:val="Hyperlink"/>
            <w:rFonts w:ascii="Arial" w:hAnsi="Arial" w:cs="Arial"/>
            <w:sz w:val="24"/>
            <w:szCs w:val="24"/>
          </w:rPr>
          <w:t>NHS England » Preparing for a successful spring 2023 COVID-19 booster campaign</w:t>
        </w:r>
      </w:hyperlink>
      <w:r>
        <w:rPr>
          <w:rFonts w:ascii="Arial" w:hAnsi="Arial" w:cs="Arial"/>
          <w:color w:val="231F20"/>
          <w:sz w:val="24"/>
          <w:szCs w:val="24"/>
        </w:rPr>
        <w:t>.</w:t>
      </w:r>
    </w:p>
    <w:p w14:paraId="01FB2ECF" w14:textId="77777777" w:rsidR="000D3DEE" w:rsidRDefault="000D3DEE" w:rsidP="000D3DEE">
      <w:pPr>
        <w:rPr>
          <w:rFonts w:ascii="Arial" w:hAnsi="Arial" w:cs="Arial"/>
          <w:color w:val="231F20"/>
          <w:sz w:val="24"/>
          <w:szCs w:val="24"/>
        </w:rPr>
      </w:pPr>
    </w:p>
    <w:p w14:paraId="1C3F659C" w14:textId="77777777" w:rsidR="000D3DEE" w:rsidRDefault="000D3DEE" w:rsidP="000D3DEE">
      <w:pPr>
        <w:rPr>
          <w:rFonts w:ascii="Arial" w:hAnsi="Arial" w:cs="Arial"/>
          <w:color w:val="231F20"/>
          <w:sz w:val="24"/>
          <w:szCs w:val="24"/>
        </w:rPr>
      </w:pPr>
      <w:r>
        <w:rPr>
          <w:rFonts w:ascii="Arial" w:hAnsi="Arial" w:cs="Arial"/>
          <w:color w:val="221F20"/>
          <w:sz w:val="24"/>
          <w:szCs w:val="24"/>
        </w:rPr>
        <w:t>Regions have been asked to share endorsed system plans with the national team by 10 March 2023. The national team will review the plans within one week and will feedback to regions w/c 20 March.</w:t>
      </w:r>
    </w:p>
    <w:p w14:paraId="4729E42C" w14:textId="77777777" w:rsidR="000D3DEE" w:rsidRDefault="000D3DEE" w:rsidP="000D3DEE">
      <w:pPr>
        <w:rPr>
          <w:rFonts w:ascii="Arial" w:hAnsi="Arial" w:cs="Arial"/>
          <w:color w:val="231F20"/>
          <w:sz w:val="24"/>
          <w:szCs w:val="24"/>
        </w:rPr>
      </w:pPr>
    </w:p>
    <w:p w14:paraId="2D2335F1" w14:textId="77777777" w:rsidR="000D3DEE" w:rsidRDefault="000D3DEE" w:rsidP="000D3DEE">
      <w:pPr>
        <w:rPr>
          <w:rFonts w:ascii="Arial" w:hAnsi="Arial" w:cs="Arial"/>
          <w:color w:val="221F20"/>
          <w:sz w:val="24"/>
          <w:szCs w:val="24"/>
        </w:rPr>
      </w:pPr>
      <w:r>
        <w:rPr>
          <w:rFonts w:ascii="Arial" w:hAnsi="Arial" w:cs="Arial"/>
          <w:color w:val="221F20"/>
          <w:sz w:val="24"/>
          <w:szCs w:val="24"/>
        </w:rPr>
        <w:t>This letter is supported by the Spring Deployment Guide which will assist regions and systems in delivering the campaign. The Deployment Guide will be shared with regions as soon as it has been through the appropriate approval processes.</w:t>
      </w:r>
    </w:p>
    <w:p w14:paraId="3AD91CBE" w14:textId="77777777" w:rsidR="000D3DEE" w:rsidRDefault="000D3DEE" w:rsidP="000D3DEE">
      <w:pPr>
        <w:rPr>
          <w:rFonts w:ascii="Arial" w:hAnsi="Arial" w:cs="Arial"/>
          <w:color w:val="231F20"/>
          <w:sz w:val="24"/>
          <w:szCs w:val="24"/>
        </w:rPr>
      </w:pPr>
    </w:p>
    <w:p w14:paraId="363075B9" w14:textId="77777777" w:rsidR="000D3DEE" w:rsidRDefault="000D3DEE" w:rsidP="000D3DEE">
      <w:pPr>
        <w:rPr>
          <w:rFonts w:ascii="Arial" w:hAnsi="Arial" w:cs="Arial"/>
          <w:color w:val="231F20"/>
          <w:sz w:val="24"/>
          <w:szCs w:val="24"/>
        </w:rPr>
      </w:pPr>
      <w:r>
        <w:rPr>
          <w:rFonts w:ascii="Arial" w:hAnsi="Arial" w:cs="Arial"/>
          <w:color w:val="231F20"/>
          <w:sz w:val="24"/>
          <w:szCs w:val="24"/>
        </w:rPr>
        <w:t xml:space="preserve">Thank you again for your ongoing work that continues to save lives. </w:t>
      </w:r>
    </w:p>
    <w:p w14:paraId="7C2105BB" w14:textId="77777777" w:rsidR="000D3DEE" w:rsidRDefault="000D3DEE" w:rsidP="000D3DEE">
      <w:pPr>
        <w:rPr>
          <w:rFonts w:ascii="Arial" w:hAnsi="Arial" w:cs="Arial"/>
          <w:color w:val="231F20"/>
          <w:sz w:val="24"/>
          <w:szCs w:val="24"/>
        </w:rPr>
      </w:pPr>
    </w:p>
    <w:p w14:paraId="19E5DABC" w14:textId="77777777" w:rsidR="000D3DEE" w:rsidRDefault="000D3DEE" w:rsidP="000D3DEE"/>
    <w:p w14:paraId="5657E648" w14:textId="77777777" w:rsidR="008262F6" w:rsidRDefault="008262F6"/>
    <w:sectPr w:rsidR="008262F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8DDD98"/>
    <w:multiLevelType w:val="hybridMultilevel"/>
    <w:tmpl w:val="FFFFFFFF"/>
    <w:lvl w:ilvl="0" w:tplc="20D0145E">
      <w:start w:val="1"/>
      <w:numFmt w:val="bullet"/>
      <w:lvlText w:val=""/>
      <w:lvlJc w:val="left"/>
      <w:pPr>
        <w:ind w:left="720" w:hanging="360"/>
      </w:pPr>
      <w:rPr>
        <w:rFonts w:ascii="Symbol" w:hAnsi="Symbol" w:hint="default"/>
      </w:rPr>
    </w:lvl>
    <w:lvl w:ilvl="1" w:tplc="C6204580">
      <w:start w:val="1"/>
      <w:numFmt w:val="bullet"/>
      <w:lvlText w:val="o"/>
      <w:lvlJc w:val="left"/>
      <w:pPr>
        <w:ind w:left="1440" w:hanging="360"/>
      </w:pPr>
      <w:rPr>
        <w:rFonts w:ascii="Courier New" w:hAnsi="Courier New" w:cs="Times New Roman" w:hint="default"/>
      </w:rPr>
    </w:lvl>
    <w:lvl w:ilvl="2" w:tplc="A336EEE8">
      <w:start w:val="1"/>
      <w:numFmt w:val="bullet"/>
      <w:lvlText w:val=""/>
      <w:lvlJc w:val="left"/>
      <w:pPr>
        <w:ind w:left="2160" w:hanging="360"/>
      </w:pPr>
      <w:rPr>
        <w:rFonts w:ascii="Wingdings" w:hAnsi="Wingdings" w:hint="default"/>
      </w:rPr>
    </w:lvl>
    <w:lvl w:ilvl="3" w:tplc="BC34BA9A">
      <w:start w:val="1"/>
      <w:numFmt w:val="bullet"/>
      <w:lvlText w:val=""/>
      <w:lvlJc w:val="left"/>
      <w:pPr>
        <w:ind w:left="2880" w:hanging="360"/>
      </w:pPr>
      <w:rPr>
        <w:rFonts w:ascii="Symbol" w:hAnsi="Symbol" w:hint="default"/>
      </w:rPr>
    </w:lvl>
    <w:lvl w:ilvl="4" w:tplc="3AFC462C">
      <w:start w:val="1"/>
      <w:numFmt w:val="bullet"/>
      <w:lvlText w:val="o"/>
      <w:lvlJc w:val="left"/>
      <w:pPr>
        <w:ind w:left="3600" w:hanging="360"/>
      </w:pPr>
      <w:rPr>
        <w:rFonts w:ascii="Courier New" w:hAnsi="Courier New" w:cs="Times New Roman" w:hint="default"/>
      </w:rPr>
    </w:lvl>
    <w:lvl w:ilvl="5" w:tplc="6C207F06">
      <w:start w:val="1"/>
      <w:numFmt w:val="bullet"/>
      <w:lvlText w:val=""/>
      <w:lvlJc w:val="left"/>
      <w:pPr>
        <w:ind w:left="4320" w:hanging="360"/>
      </w:pPr>
      <w:rPr>
        <w:rFonts w:ascii="Wingdings" w:hAnsi="Wingdings" w:hint="default"/>
      </w:rPr>
    </w:lvl>
    <w:lvl w:ilvl="6" w:tplc="A8AAFADA">
      <w:start w:val="1"/>
      <w:numFmt w:val="bullet"/>
      <w:lvlText w:val=""/>
      <w:lvlJc w:val="left"/>
      <w:pPr>
        <w:ind w:left="5040" w:hanging="360"/>
      </w:pPr>
      <w:rPr>
        <w:rFonts w:ascii="Symbol" w:hAnsi="Symbol" w:hint="default"/>
      </w:rPr>
    </w:lvl>
    <w:lvl w:ilvl="7" w:tplc="157ECB98">
      <w:start w:val="1"/>
      <w:numFmt w:val="bullet"/>
      <w:lvlText w:val="o"/>
      <w:lvlJc w:val="left"/>
      <w:pPr>
        <w:ind w:left="5760" w:hanging="360"/>
      </w:pPr>
      <w:rPr>
        <w:rFonts w:ascii="Courier New" w:hAnsi="Courier New" w:cs="Times New Roman" w:hint="default"/>
      </w:rPr>
    </w:lvl>
    <w:lvl w:ilvl="8" w:tplc="0B76FEA4">
      <w:start w:val="1"/>
      <w:numFmt w:val="bullet"/>
      <w:lvlText w:val=""/>
      <w:lvlJc w:val="left"/>
      <w:pPr>
        <w:ind w:left="6480" w:hanging="360"/>
      </w:pPr>
      <w:rPr>
        <w:rFonts w:ascii="Wingdings" w:hAnsi="Wingdings" w:hint="default"/>
      </w:rPr>
    </w:lvl>
  </w:abstractNum>
  <w:abstractNum w:abstractNumId="1" w15:restartNumberingAfterBreak="0">
    <w:nsid w:val="3E0E4FF3"/>
    <w:multiLevelType w:val="hybridMultilevel"/>
    <w:tmpl w:val="C36233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60F561B7"/>
    <w:multiLevelType w:val="hybridMultilevel"/>
    <w:tmpl w:val="F3B299BE"/>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574557494">
    <w:abstractNumId w:val="2"/>
    <w:lvlOverride w:ilvl="0"/>
    <w:lvlOverride w:ilvl="1"/>
    <w:lvlOverride w:ilvl="2"/>
    <w:lvlOverride w:ilvl="3"/>
    <w:lvlOverride w:ilvl="4"/>
    <w:lvlOverride w:ilvl="5"/>
    <w:lvlOverride w:ilvl="6"/>
    <w:lvlOverride w:ilvl="7"/>
    <w:lvlOverride w:ilvl="8"/>
  </w:num>
  <w:num w:numId="2" w16cid:durableId="774834692">
    <w:abstractNumId w:val="1"/>
    <w:lvlOverride w:ilvl="0"/>
    <w:lvlOverride w:ilvl="1"/>
    <w:lvlOverride w:ilvl="2"/>
    <w:lvlOverride w:ilvl="3"/>
    <w:lvlOverride w:ilvl="4"/>
    <w:lvlOverride w:ilvl="5"/>
    <w:lvlOverride w:ilvl="6"/>
    <w:lvlOverride w:ilvl="7"/>
    <w:lvlOverride w:ilvl="8"/>
  </w:num>
  <w:num w:numId="3" w16cid:durableId="129756209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3DEE"/>
    <w:rsid w:val="000D3DEE"/>
    <w:rsid w:val="008262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BB3F11"/>
  <w15:chartTrackingRefBased/>
  <w15:docId w15:val="{A3609E38-009F-4CE5-938C-430B04F2C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3DEE"/>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D3DEE"/>
    <w:rPr>
      <w:color w:val="0563C1"/>
      <w:u w:val="single"/>
    </w:rPr>
  </w:style>
  <w:style w:type="paragraph" w:styleId="ListParagraph">
    <w:name w:val="List Paragraph"/>
    <w:basedOn w:val="Normal"/>
    <w:uiPriority w:val="34"/>
    <w:qFormat/>
    <w:rsid w:val="000D3DE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4200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assets.publishing.service.gov.uk%2Fgovernment%2Fuploads%2Fsystem%2Fuploads%2Fattachment_data%2Ffile%2F1140811%2FGreenbook-chapter-14a-7March2023.pdf&amp;data=05%7C01%7Cfrimleyicb.collaborative.communications%40nhs.net%7C74ccf1fb097147f4f4f508db239e3e3c%7C37c354b285b047f5b22207b48d774ee3%7C0%7C0%7C638142934775677010%7CUnknown%7CTWFpbGZsb3d8eyJWIjoiMC4wLjAwMDAiLCJQIjoiV2luMzIiLCJBTiI6Ik1haWwiLCJXVCI6Mn0%3D%7C3000%7C%7C%7C&amp;sdata=BOVj5WC20DE8hm0WZu2iT82JmiKhFV4SWvv86cl9JgQ%3D&amp;reserved=0" TargetMode="External"/><Relationship Id="rId13" Type="http://schemas.openxmlformats.org/officeDocument/2006/relationships/hyperlink" Target="https://gbr01.safelinks.protection.outlook.com/?url=https%3A%2F%2Fwww.england.nhs.uk%2Flong-read%2Fpreparing-for-a-successful-spring-2023-covid-19-booster-campaign%2F&amp;data=05%7C01%7Cfrimleyicb.collaborative.communications%40nhs.net%7C74ccf1fb097147f4f4f508db239e3e3c%7C37c354b285b047f5b22207b48d774ee3%7C0%7C0%7C638142934775677010%7CUnknown%7CTWFpbGZsb3d8eyJWIjoiMC4wLjAwMDAiLCJQIjoiV2luMzIiLCJBTiI6Ik1haWwiLCJXVCI6Mn0%3D%7C3000%7C%7C%7C&amp;sdata=%2BtDP%2F0jrsXnZaZ%2FtgdncEZnW2fW8xMvbGLdHBNA58bc%3D&amp;reserved=0" TargetMode="External"/><Relationship Id="rId3" Type="http://schemas.openxmlformats.org/officeDocument/2006/relationships/settings" Target="settings.xml"/><Relationship Id="rId7" Type="http://schemas.openxmlformats.org/officeDocument/2006/relationships/hyperlink" Target="https://gbr01.safelinks.protection.outlook.com/?url=https%3A%2F%2Fwww.gov.uk%2Fgovernment%2Fpublications%2Fcovid-19-the-green-book-chapter-14a&amp;data=05%7C01%7Cfrimleyicb.collaborative.communications%40nhs.net%7C74ccf1fb097147f4f4f508db239e3e3c%7C37c354b285b047f5b22207b48d774ee3%7C0%7C0%7C638142934775677010%7CUnknown%7CTWFpbGZsb3d8eyJWIjoiMC4wLjAwMDAiLCJQIjoiV2luMzIiLCJBTiI6Ik1haWwiLCJXVCI6Mn0%3D%7C3000%7C%7C%7C&amp;sdata=xphmN3R0mlcoU7z9K%2FmHxe9iRjqKNuWbJ6RTgyfsC50%3D&amp;reserved=0" TargetMode="External"/><Relationship Id="rId12" Type="http://schemas.openxmlformats.org/officeDocument/2006/relationships/hyperlink" Target="mailto:england.pccovidvaccine@nhs.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br01.safelinks.protection.outlook.com/?url=https%3A%2F%2Fwww.gov.uk%2Fgovernment%2Fpublications%2Fuse-of-human-and-animal-products-in-vaccines%2Fguide-to-the-use-of-human-and-animal-products-in-vaccines&amp;data=05%7C01%7Cfrimleyicb.collaborative.communications%40nhs.net%7C74ccf1fb097147f4f4f508db239e3e3c%7C37c354b285b047f5b22207b48d774ee3%7C0%7C0%7C638142934775677010%7CUnknown%7CTWFpbGZsb3d8eyJWIjoiMC4wLjAwMDAiLCJQIjoiV2luMzIiLCJBTiI6Ik1haWwiLCJXVCI6Mn0%3D%7C3000%7C%7C%7C&amp;sdata=hwF2oOn160FJCenZLNRFKG5EkDYTLFk5S8ifClhiNvw%3D&amp;reserved=0" TargetMode="External"/><Relationship Id="rId11" Type="http://schemas.openxmlformats.org/officeDocument/2006/relationships/hyperlink" Target="mailto:england.pccovidvaccine@nhs.net" TargetMode="External"/><Relationship Id="rId5" Type="http://schemas.openxmlformats.org/officeDocument/2006/relationships/hyperlink" Target="https://gbr01.safelinks.protection.outlook.com/?url=https%3A%2F%2Fwww.gov.uk%2Fgovernment%2Fpublications%2Fcovid-19-the-green-book-chapter-14a&amp;data=05%7C01%7Cfrimleyicb.collaborative.communications%40nhs.net%7C74ccf1fb097147f4f4f508db239e3e3c%7C37c354b285b047f5b22207b48d774ee3%7C0%7C0%7C638142934775677010%7CUnknown%7CTWFpbGZsb3d8eyJWIjoiMC4wLjAwMDAiLCJQIjoiV2luMzIiLCJBTiI6Ik1haWwiLCJXVCI6Mn0%3D%7C3000%7C%7C%7C&amp;sdata=xphmN3R0mlcoU7z9K%2FmHxe9iRjqKNuWbJ6RTgyfsC50%3D&amp;reserved=0" TargetMode="External"/><Relationship Id="rId15" Type="http://schemas.openxmlformats.org/officeDocument/2006/relationships/theme" Target="theme/theme1.xml"/><Relationship Id="rId10" Type="http://schemas.openxmlformats.org/officeDocument/2006/relationships/hyperlink" Target="https://gbr01.safelinks.protection.outlook.com/?url=https%3A%2F%2Ffuture.nhs.uk%2FCovidVaccinations%2Fview%3FobjectId%3D142633541&amp;data=05%7C01%7Cfrimleyicb.collaborative.communications%40nhs.net%7C74ccf1fb097147f4f4f508db239e3e3c%7C37c354b285b047f5b22207b48d774ee3%7C0%7C0%7C638142934775677010%7CUnknown%7CTWFpbGZsb3d8eyJWIjoiMC4wLjAwMDAiLCJQIjoiV2luMzIiLCJBTiI6Ik1haWwiLCJXVCI6Mn0%3D%7C3000%7C%7C%7C&amp;sdata=XFmXLlcQF8u5UkLZ1On%2FtZAQk%2BEH%2FoUY%2BkbYCM9HadA%3D&amp;reserved=0" TargetMode="External"/><Relationship Id="rId4" Type="http://schemas.openxmlformats.org/officeDocument/2006/relationships/webSettings" Target="webSettings.xml"/><Relationship Id="rId9" Type="http://schemas.openxmlformats.org/officeDocument/2006/relationships/hyperlink" Target="https://gbr01.safelinks.protection.outlook.com/?url=https%3A%2F%2Fwww.gov.uk%2Fgovernment%2Fpublications%2Fprotocol-for-ordering-storing-and-handling-vaccines&amp;data=05%7C01%7Cfrimleyicb.collaborative.communications%40nhs.net%7C74ccf1fb097147f4f4f508db239e3e3c%7C37c354b285b047f5b22207b48d774ee3%7C0%7C0%7C638142934775677010%7CUnknown%7CTWFpbGZsb3d8eyJWIjoiMC4wLjAwMDAiLCJQIjoiV2luMzIiLCJBTiI6Ik1haWwiLCJXVCI6Mn0%3D%7C3000%7C%7C%7C&amp;sdata=N7EUO2pm1yX3be95dIX2msHq07bD3r%2FAGTLX%2BndTsHs%3D&amp;reserved=0"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2088</Words>
  <Characters>11904</Characters>
  <Application>Microsoft Office Word</Application>
  <DocSecurity>0</DocSecurity>
  <Lines>99</Lines>
  <Paragraphs>27</Paragraphs>
  <ScaleCrop>false</ScaleCrop>
  <Company/>
  <LinksUpToDate>false</LinksUpToDate>
  <CharactersWithSpaces>13965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2023-03-16T09:51:00Z</dcterms:created>
  <dcterms:modified xsi:type="dcterms:W3CDTF">2023-03-16T09:52:00Z</dcterms:modified>
</cp:coreProperties>
</file>