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5FD812" w14:textId="77777777" w:rsidR="00DC151E" w:rsidRDefault="00DC151E" w:rsidP="00DC151E">
      <w:pPr>
        <w:rPr>
          <w:b/>
          <w:bCs/>
        </w:rPr>
      </w:pPr>
      <w:r>
        <w:rPr>
          <w:b/>
          <w:bCs/>
        </w:rPr>
        <w:t>General Practice Appointment Data (GPAD) Publication</w:t>
      </w:r>
    </w:p>
    <w:p w14:paraId="77F0E13C" w14:textId="77777777" w:rsidR="00DC151E" w:rsidRDefault="00DC151E" w:rsidP="00DC151E"/>
    <w:p w14:paraId="6EFDAB90" w14:textId="77777777" w:rsidR="00DC151E" w:rsidRDefault="00DC151E" w:rsidP="00DC151E">
      <w:pPr>
        <w:spacing w:line="252" w:lineRule="auto"/>
      </w:pPr>
      <w:r>
        <w:t xml:space="preserve">On </w:t>
      </w:r>
      <w:r>
        <w:rPr>
          <w:b/>
          <w:bCs/>
        </w:rPr>
        <w:t>24 November 2022</w:t>
      </w:r>
      <w:r>
        <w:t xml:space="preserve">, NHS Digital intends to publish practice level data as laid out in the Secretary of State for Health and Social Care’s </w:t>
      </w:r>
      <w:hyperlink r:id="rId5" w:history="1">
        <w:r>
          <w:rPr>
            <w:rStyle w:val="Hyperlink"/>
          </w:rPr>
          <w:t>“Our Plan for Patients”.</w:t>
        </w:r>
      </w:hyperlink>
    </w:p>
    <w:p w14:paraId="14ABA9C7" w14:textId="77777777" w:rsidR="00DC151E" w:rsidRDefault="00DC151E" w:rsidP="00DC151E">
      <w:pPr>
        <w:pStyle w:val="ListParagraph"/>
        <w:numPr>
          <w:ilvl w:val="1"/>
          <w:numId w:val="1"/>
        </w:numPr>
        <w:spacing w:after="160" w:line="252" w:lineRule="auto"/>
        <w:ind w:left="1080"/>
        <w:contextualSpacing/>
        <w:rPr>
          <w:i/>
          <w:iCs/>
        </w:rPr>
      </w:pPr>
      <w:r>
        <w:rPr>
          <w:i/>
          <w:iCs/>
        </w:rPr>
        <w:t>“Patients will have more information available to choose the right practice for them. From November 2022, we will publish easy-to-use data showing exactly how many appointments each practice in England is delivering and how long people wait between booking an appointment and receiving one.”</w:t>
      </w:r>
    </w:p>
    <w:p w14:paraId="189CF184" w14:textId="77777777" w:rsidR="00DC151E" w:rsidRDefault="00DC151E" w:rsidP="00DC151E">
      <w:r>
        <w:t>This data will be added to the existing monthly Appointments in General Practice publication using the data collected from GP System Suppliers. It will contain data for every practice in the country covering a breakdown of, for example, time between booking and appointment date, total appointments, how the patient was seen (</w:t>
      </w:r>
      <w:proofErr w:type="gramStart"/>
      <w:r>
        <w:t>e.g.</w:t>
      </w:r>
      <w:proofErr w:type="gramEnd"/>
      <w:r>
        <w:t xml:space="preserve"> telephone or in person) and who patients were seen by (e.g. GP or nurse).</w:t>
      </w:r>
    </w:p>
    <w:p w14:paraId="57EA0D99" w14:textId="77777777" w:rsidR="00DC151E" w:rsidRDefault="00DC151E" w:rsidP="00DC151E"/>
    <w:p w14:paraId="49188CB6" w14:textId="77777777" w:rsidR="00DC151E" w:rsidRDefault="00DC151E" w:rsidP="00DC151E">
      <w:r>
        <w:t xml:space="preserve">GPAD is described as experimental statistics and as a result has </w:t>
      </w:r>
      <w:proofErr w:type="gramStart"/>
      <w:r>
        <w:t>a number of</w:t>
      </w:r>
      <w:proofErr w:type="gramEnd"/>
      <w:r>
        <w:t xml:space="preserve"> limitations. NHSD has an excellent explanation of those limitations here </w:t>
      </w:r>
      <w:hyperlink r:id="rId6" w:history="1">
        <w:r>
          <w:rPr>
            <w:rStyle w:val="Hyperlink"/>
          </w:rPr>
          <w:t>https://digital.nhs.uk/data-and-information/publications/statistical/appointments-in-general-practice/appointments-in-general-practice-supporting-information</w:t>
        </w:r>
      </w:hyperlink>
      <w:r>
        <w:t>. This information will be updated to include details about practice level data, which local comms teams can use as background to help manage media enquiries</w:t>
      </w:r>
    </w:p>
    <w:p w14:paraId="4DDAEBB2" w14:textId="77777777" w:rsidR="00DC151E" w:rsidRDefault="00DC151E" w:rsidP="00DC151E"/>
    <w:p w14:paraId="6290F3BD" w14:textId="77777777" w:rsidR="00DC151E" w:rsidRDefault="00DC151E" w:rsidP="00DC151E">
      <w:r>
        <w:t xml:space="preserve">The real level of variation is not </w:t>
      </w:r>
      <w:proofErr w:type="gramStart"/>
      <w:r>
        <w:t>known,</w:t>
      </w:r>
      <w:proofErr w:type="gramEnd"/>
      <w:r>
        <w:t xml:space="preserve"> however we do know that the publication presents details of patient appointments that are recorded in the GP appointments system, rather than the totality of interactions. GPAD does not include all appointments from online requests to practices from patients as they are often managed within other IT products, nor does it currently include all enhanced access evening and weekend appointments which are managed by other appointment books. It therefore cannot </w:t>
      </w:r>
      <w:proofErr w:type="gramStart"/>
      <w:r>
        <w:t>be considered to be</w:t>
      </w:r>
      <w:proofErr w:type="gramEnd"/>
      <w:r>
        <w:t xml:space="preserve"> a complete view of general practice activity.</w:t>
      </w:r>
    </w:p>
    <w:p w14:paraId="6DE37EF6" w14:textId="77777777" w:rsidR="00DC151E" w:rsidRDefault="00DC151E" w:rsidP="00DC151E"/>
    <w:p w14:paraId="4B8A9362" w14:textId="77777777" w:rsidR="00DC151E" w:rsidRDefault="00DC151E" w:rsidP="00DC151E">
      <w:pPr>
        <w:rPr>
          <w:b/>
          <w:bCs/>
        </w:rPr>
      </w:pPr>
      <w:r>
        <w:rPr>
          <w:b/>
          <w:bCs/>
        </w:rPr>
        <w:t>What can Practices do?</w:t>
      </w:r>
    </w:p>
    <w:p w14:paraId="1E4505B9" w14:textId="77777777" w:rsidR="00DC151E" w:rsidRDefault="00DC151E" w:rsidP="00DC151E">
      <w:pPr>
        <w:rPr>
          <w:b/>
          <w:bCs/>
        </w:rPr>
      </w:pPr>
    </w:p>
    <w:p w14:paraId="58F94BFE" w14:textId="77777777" w:rsidR="00DC151E" w:rsidRDefault="00DC151E" w:rsidP="00DC151E">
      <w:pPr>
        <w:numPr>
          <w:ilvl w:val="0"/>
          <w:numId w:val="2"/>
        </w:numPr>
        <w:rPr>
          <w:rFonts w:eastAsia="Times New Roman"/>
        </w:rPr>
      </w:pPr>
      <w:r>
        <w:rPr>
          <w:rFonts w:eastAsia="Times New Roman"/>
        </w:rPr>
        <w:t xml:space="preserve">There is likely to be significant media interest, therefore </w:t>
      </w:r>
      <w:r>
        <w:rPr>
          <w:rFonts w:eastAsia="Times New Roman"/>
          <w:b/>
          <w:bCs/>
          <w:u w:val="single"/>
        </w:rPr>
        <w:t>All practices</w:t>
      </w:r>
      <w:r>
        <w:rPr>
          <w:rFonts w:eastAsia="Times New Roman"/>
        </w:rPr>
        <w:t xml:space="preserve"> advised to review their own data against the ranges below and </w:t>
      </w:r>
      <w:r>
        <w:rPr>
          <w:rFonts w:eastAsia="Times New Roman"/>
          <w:u w:val="single"/>
        </w:rPr>
        <w:t>flag any concerns with place teams</w:t>
      </w:r>
      <w:r>
        <w:rPr>
          <w:rFonts w:eastAsia="Times New Roman"/>
        </w:rPr>
        <w:t xml:space="preserve">: </w:t>
      </w:r>
      <w:hyperlink r:id="rId7" w:history="1">
        <w:r>
          <w:rPr>
            <w:rStyle w:val="Hyperlink"/>
            <w:rFonts w:eastAsia="Times New Roman"/>
          </w:rPr>
          <w:t>practice level GPAD dashboard</w:t>
        </w:r>
      </w:hyperlink>
    </w:p>
    <w:tbl>
      <w:tblPr>
        <w:tblW w:w="10168" w:type="dxa"/>
        <w:tblInd w:w="-10" w:type="dxa"/>
        <w:tblCellMar>
          <w:left w:w="0" w:type="dxa"/>
          <w:right w:w="0" w:type="dxa"/>
        </w:tblCellMar>
        <w:tblLook w:val="04A0" w:firstRow="1" w:lastRow="0" w:firstColumn="1" w:lastColumn="0" w:noHBand="0" w:noVBand="1"/>
      </w:tblPr>
      <w:tblGrid>
        <w:gridCol w:w="6308"/>
        <w:gridCol w:w="1286"/>
        <w:gridCol w:w="1287"/>
        <w:gridCol w:w="1287"/>
      </w:tblGrid>
      <w:tr w:rsidR="00BE21E6" w14:paraId="34BB5E08" w14:textId="77777777" w:rsidTr="00F405CE">
        <w:trPr>
          <w:trHeight w:val="270"/>
        </w:trPr>
        <w:tc>
          <w:tcPr>
            <w:tcW w:w="6308"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6D833994" w14:textId="77777777" w:rsidR="00BE21E6" w:rsidRDefault="00BE21E6">
            <w:pPr>
              <w:rPr>
                <w:color w:val="FFFFFF"/>
              </w:rPr>
            </w:pPr>
            <w:r>
              <w:rPr>
                <w:b/>
                <w:bCs/>
                <w:color w:val="FFFFFF"/>
              </w:rPr>
              <w:t>Measure</w:t>
            </w:r>
          </w:p>
        </w:tc>
        <w:tc>
          <w:tcPr>
            <w:tcW w:w="1286" w:type="dxa"/>
            <w:tcBorders>
              <w:top w:val="single" w:sz="8" w:space="0" w:color="FFFFFF"/>
              <w:left w:val="nil"/>
              <w:bottom w:val="single" w:sz="24" w:space="0" w:color="FFFFFF"/>
              <w:right w:val="single" w:sz="8" w:space="0" w:color="FFFFFF"/>
            </w:tcBorders>
            <w:shd w:val="clear" w:color="auto" w:fill="4F81BD"/>
            <w:tcMar>
              <w:top w:w="72" w:type="dxa"/>
              <w:left w:w="144" w:type="dxa"/>
              <w:bottom w:w="72" w:type="dxa"/>
              <w:right w:w="144" w:type="dxa"/>
            </w:tcMar>
            <w:hideMark/>
          </w:tcPr>
          <w:p w14:paraId="5E44DAB9" w14:textId="77777777" w:rsidR="00BE21E6" w:rsidRDefault="00BE21E6">
            <w:pPr>
              <w:rPr>
                <w:color w:val="FFFFFF"/>
              </w:rPr>
            </w:pPr>
            <w:r>
              <w:rPr>
                <w:b/>
                <w:bCs/>
                <w:color w:val="FFFFFF"/>
              </w:rPr>
              <w:t>Lowest</w:t>
            </w:r>
          </w:p>
        </w:tc>
        <w:tc>
          <w:tcPr>
            <w:tcW w:w="1287" w:type="dxa"/>
            <w:tcBorders>
              <w:top w:val="single" w:sz="8" w:space="0" w:color="FFFFFF"/>
              <w:left w:val="nil"/>
              <w:bottom w:val="single" w:sz="24" w:space="0" w:color="FFFFFF"/>
              <w:right w:val="single" w:sz="8" w:space="0" w:color="FFFFFF"/>
            </w:tcBorders>
            <w:shd w:val="clear" w:color="auto" w:fill="4F81BD"/>
            <w:tcMar>
              <w:top w:w="72" w:type="dxa"/>
              <w:left w:w="144" w:type="dxa"/>
              <w:bottom w:w="72" w:type="dxa"/>
              <w:right w:w="144" w:type="dxa"/>
            </w:tcMar>
            <w:hideMark/>
          </w:tcPr>
          <w:p w14:paraId="1287E412" w14:textId="77777777" w:rsidR="00BE21E6" w:rsidRDefault="00BE21E6">
            <w:pPr>
              <w:rPr>
                <w:color w:val="FFFFFF"/>
              </w:rPr>
            </w:pPr>
            <w:r>
              <w:rPr>
                <w:b/>
                <w:bCs/>
                <w:color w:val="FFFFFF"/>
              </w:rPr>
              <w:t>Highest</w:t>
            </w:r>
          </w:p>
        </w:tc>
        <w:tc>
          <w:tcPr>
            <w:tcW w:w="1287" w:type="dxa"/>
            <w:tcBorders>
              <w:top w:val="single" w:sz="8" w:space="0" w:color="FFFFFF"/>
              <w:left w:val="nil"/>
              <w:bottom w:val="single" w:sz="24" w:space="0" w:color="FFFFFF"/>
              <w:right w:val="single" w:sz="8" w:space="0" w:color="FFFFFF"/>
            </w:tcBorders>
            <w:shd w:val="clear" w:color="auto" w:fill="4F81BD"/>
            <w:hideMark/>
          </w:tcPr>
          <w:p w14:paraId="0245397F" w14:textId="77777777" w:rsidR="00BE21E6" w:rsidRDefault="00BE21E6">
            <w:pPr>
              <w:rPr>
                <w:b/>
                <w:bCs/>
                <w:color w:val="FFFFFF"/>
              </w:rPr>
            </w:pPr>
            <w:r>
              <w:rPr>
                <w:b/>
                <w:bCs/>
                <w:color w:val="FFFFFF"/>
              </w:rPr>
              <w:t>Mean</w:t>
            </w:r>
          </w:p>
        </w:tc>
      </w:tr>
      <w:tr w:rsidR="00BE21E6" w14:paraId="0EBFDFCF" w14:textId="77777777" w:rsidTr="00F405CE">
        <w:trPr>
          <w:trHeight w:val="270"/>
        </w:trPr>
        <w:tc>
          <w:tcPr>
            <w:tcW w:w="6308" w:type="dxa"/>
            <w:tcBorders>
              <w:top w:val="nil"/>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131328C9" w14:textId="77777777" w:rsidR="00BE21E6" w:rsidRDefault="00BE21E6">
            <w:r>
              <w:rPr>
                <w:color w:val="000000"/>
              </w:rPr>
              <w:t>Total appointments (all clinicians) per 1,000 patients</w:t>
            </w:r>
          </w:p>
        </w:tc>
        <w:tc>
          <w:tcPr>
            <w:tcW w:w="1286" w:type="dxa"/>
            <w:tcBorders>
              <w:top w:val="nil"/>
              <w:left w:val="nil"/>
              <w:bottom w:val="single" w:sz="8" w:space="0" w:color="FFFFFF"/>
              <w:right w:val="single" w:sz="8" w:space="0" w:color="FFFFFF"/>
            </w:tcBorders>
            <w:shd w:val="clear" w:color="auto" w:fill="D0D8E8"/>
            <w:tcMar>
              <w:top w:w="72" w:type="dxa"/>
              <w:left w:w="144" w:type="dxa"/>
              <w:bottom w:w="72" w:type="dxa"/>
              <w:right w:w="144" w:type="dxa"/>
            </w:tcMar>
            <w:hideMark/>
          </w:tcPr>
          <w:p w14:paraId="61106343" w14:textId="77777777" w:rsidR="00BE21E6" w:rsidRDefault="00BE21E6">
            <w:r>
              <w:rPr>
                <w:color w:val="000000"/>
              </w:rPr>
              <w:t>202</w:t>
            </w:r>
          </w:p>
        </w:tc>
        <w:tc>
          <w:tcPr>
            <w:tcW w:w="1287" w:type="dxa"/>
            <w:tcBorders>
              <w:top w:val="nil"/>
              <w:left w:val="nil"/>
              <w:bottom w:val="single" w:sz="8" w:space="0" w:color="FFFFFF"/>
              <w:right w:val="single" w:sz="8" w:space="0" w:color="FFFFFF"/>
            </w:tcBorders>
            <w:shd w:val="clear" w:color="auto" w:fill="D0D8E8"/>
            <w:tcMar>
              <w:top w:w="72" w:type="dxa"/>
              <w:left w:w="144" w:type="dxa"/>
              <w:bottom w:w="72" w:type="dxa"/>
              <w:right w:w="144" w:type="dxa"/>
            </w:tcMar>
            <w:hideMark/>
          </w:tcPr>
          <w:p w14:paraId="4CBCDCAD" w14:textId="77777777" w:rsidR="00BE21E6" w:rsidRDefault="00BE21E6">
            <w:r>
              <w:rPr>
                <w:color w:val="000000"/>
              </w:rPr>
              <w:t>720</w:t>
            </w:r>
          </w:p>
        </w:tc>
        <w:tc>
          <w:tcPr>
            <w:tcW w:w="1287" w:type="dxa"/>
            <w:tcBorders>
              <w:top w:val="nil"/>
              <w:left w:val="nil"/>
              <w:bottom w:val="single" w:sz="8" w:space="0" w:color="FFFFFF"/>
              <w:right w:val="single" w:sz="8" w:space="0" w:color="FFFFFF"/>
            </w:tcBorders>
            <w:shd w:val="clear" w:color="auto" w:fill="D0D8E8"/>
            <w:hideMark/>
          </w:tcPr>
          <w:p w14:paraId="046AC2CD" w14:textId="77777777" w:rsidR="00BE21E6" w:rsidRDefault="00BE21E6">
            <w:pPr>
              <w:rPr>
                <w:color w:val="000000"/>
              </w:rPr>
            </w:pPr>
            <w:r>
              <w:rPr>
                <w:color w:val="000000"/>
              </w:rPr>
              <w:t>454</w:t>
            </w:r>
          </w:p>
        </w:tc>
      </w:tr>
      <w:tr w:rsidR="00BE21E6" w14:paraId="2D914689" w14:textId="77777777" w:rsidTr="00F405CE">
        <w:trPr>
          <w:trHeight w:val="270"/>
        </w:trPr>
        <w:tc>
          <w:tcPr>
            <w:tcW w:w="6308" w:type="dxa"/>
            <w:tcBorders>
              <w:top w:val="nil"/>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71F9B78D" w14:textId="77777777" w:rsidR="00BE21E6" w:rsidRDefault="00BE21E6">
            <w:r>
              <w:rPr>
                <w:color w:val="000000"/>
              </w:rPr>
              <w:t>Total F2F appointments (all clinicians) per 1,000 patients</w:t>
            </w:r>
          </w:p>
        </w:tc>
        <w:tc>
          <w:tcPr>
            <w:tcW w:w="1286" w:type="dxa"/>
            <w:tcBorders>
              <w:top w:val="nil"/>
              <w:left w:val="nil"/>
              <w:bottom w:val="single" w:sz="8" w:space="0" w:color="FFFFFF"/>
              <w:right w:val="single" w:sz="8" w:space="0" w:color="FFFFFF"/>
            </w:tcBorders>
            <w:shd w:val="clear" w:color="auto" w:fill="E9EDF4"/>
            <w:tcMar>
              <w:top w:w="72" w:type="dxa"/>
              <w:left w:w="144" w:type="dxa"/>
              <w:bottom w:w="72" w:type="dxa"/>
              <w:right w:w="144" w:type="dxa"/>
            </w:tcMar>
            <w:hideMark/>
          </w:tcPr>
          <w:p w14:paraId="140394A3" w14:textId="77777777" w:rsidR="00BE21E6" w:rsidRDefault="00BE21E6">
            <w:r>
              <w:rPr>
                <w:color w:val="000000"/>
              </w:rPr>
              <w:t>102</w:t>
            </w:r>
          </w:p>
        </w:tc>
        <w:tc>
          <w:tcPr>
            <w:tcW w:w="1287" w:type="dxa"/>
            <w:tcBorders>
              <w:top w:val="nil"/>
              <w:left w:val="nil"/>
              <w:bottom w:val="single" w:sz="8" w:space="0" w:color="FFFFFF"/>
              <w:right w:val="single" w:sz="8" w:space="0" w:color="FFFFFF"/>
            </w:tcBorders>
            <w:shd w:val="clear" w:color="auto" w:fill="E9EDF4"/>
            <w:tcMar>
              <w:top w:w="72" w:type="dxa"/>
              <w:left w:w="144" w:type="dxa"/>
              <w:bottom w:w="72" w:type="dxa"/>
              <w:right w:w="144" w:type="dxa"/>
            </w:tcMar>
            <w:hideMark/>
          </w:tcPr>
          <w:p w14:paraId="6869E0CB" w14:textId="77777777" w:rsidR="00BE21E6" w:rsidRDefault="00BE21E6">
            <w:r>
              <w:rPr>
                <w:color w:val="000000"/>
              </w:rPr>
              <w:t>658</w:t>
            </w:r>
          </w:p>
        </w:tc>
        <w:tc>
          <w:tcPr>
            <w:tcW w:w="1287" w:type="dxa"/>
            <w:tcBorders>
              <w:top w:val="nil"/>
              <w:left w:val="nil"/>
              <w:bottom w:val="single" w:sz="8" w:space="0" w:color="FFFFFF"/>
              <w:right w:val="single" w:sz="8" w:space="0" w:color="FFFFFF"/>
            </w:tcBorders>
            <w:shd w:val="clear" w:color="auto" w:fill="E9EDF4"/>
            <w:hideMark/>
          </w:tcPr>
          <w:p w14:paraId="40E1B2B3" w14:textId="77777777" w:rsidR="00BE21E6" w:rsidRDefault="00BE21E6">
            <w:pPr>
              <w:rPr>
                <w:color w:val="000000"/>
              </w:rPr>
            </w:pPr>
            <w:r>
              <w:rPr>
                <w:color w:val="000000"/>
              </w:rPr>
              <w:t>276</w:t>
            </w:r>
          </w:p>
        </w:tc>
      </w:tr>
      <w:tr w:rsidR="00BE21E6" w14:paraId="0A836F01" w14:textId="77777777" w:rsidTr="00F405CE">
        <w:trPr>
          <w:trHeight w:val="270"/>
        </w:trPr>
        <w:tc>
          <w:tcPr>
            <w:tcW w:w="6308" w:type="dxa"/>
            <w:tcBorders>
              <w:top w:val="nil"/>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394BB084" w14:textId="77777777" w:rsidR="00BE21E6" w:rsidRDefault="00BE21E6">
            <w:r>
              <w:rPr>
                <w:color w:val="000000"/>
              </w:rPr>
              <w:t>GP F2F Appointments per 1,000 patients</w:t>
            </w:r>
          </w:p>
        </w:tc>
        <w:tc>
          <w:tcPr>
            <w:tcW w:w="1286" w:type="dxa"/>
            <w:tcBorders>
              <w:top w:val="nil"/>
              <w:left w:val="nil"/>
              <w:bottom w:val="single" w:sz="8" w:space="0" w:color="FFFFFF"/>
              <w:right w:val="single" w:sz="8" w:space="0" w:color="FFFFFF"/>
            </w:tcBorders>
            <w:shd w:val="clear" w:color="auto" w:fill="D0D8E8"/>
            <w:tcMar>
              <w:top w:w="72" w:type="dxa"/>
              <w:left w:w="144" w:type="dxa"/>
              <w:bottom w:w="72" w:type="dxa"/>
              <w:right w:w="144" w:type="dxa"/>
            </w:tcMar>
            <w:hideMark/>
          </w:tcPr>
          <w:p w14:paraId="27BF7B04" w14:textId="77777777" w:rsidR="00BE21E6" w:rsidRDefault="00BE21E6">
            <w:r>
              <w:rPr>
                <w:color w:val="000000"/>
              </w:rPr>
              <w:t>23</w:t>
            </w:r>
          </w:p>
        </w:tc>
        <w:tc>
          <w:tcPr>
            <w:tcW w:w="1287" w:type="dxa"/>
            <w:tcBorders>
              <w:top w:val="nil"/>
              <w:left w:val="nil"/>
              <w:bottom w:val="single" w:sz="8" w:space="0" w:color="FFFFFF"/>
              <w:right w:val="single" w:sz="8" w:space="0" w:color="FFFFFF"/>
            </w:tcBorders>
            <w:shd w:val="clear" w:color="auto" w:fill="D0D8E8"/>
            <w:tcMar>
              <w:top w:w="72" w:type="dxa"/>
              <w:left w:w="144" w:type="dxa"/>
              <w:bottom w:w="72" w:type="dxa"/>
              <w:right w:w="144" w:type="dxa"/>
            </w:tcMar>
            <w:hideMark/>
          </w:tcPr>
          <w:p w14:paraId="77DF11BB" w14:textId="77777777" w:rsidR="00BE21E6" w:rsidRDefault="00BE21E6">
            <w:r>
              <w:rPr>
                <w:color w:val="000000"/>
              </w:rPr>
              <w:t>428</w:t>
            </w:r>
          </w:p>
        </w:tc>
        <w:tc>
          <w:tcPr>
            <w:tcW w:w="1287" w:type="dxa"/>
            <w:tcBorders>
              <w:top w:val="nil"/>
              <w:left w:val="nil"/>
              <w:bottom w:val="single" w:sz="8" w:space="0" w:color="FFFFFF"/>
              <w:right w:val="single" w:sz="8" w:space="0" w:color="FFFFFF"/>
            </w:tcBorders>
            <w:shd w:val="clear" w:color="auto" w:fill="D0D8E8"/>
            <w:hideMark/>
          </w:tcPr>
          <w:p w14:paraId="43B82580" w14:textId="77777777" w:rsidR="00BE21E6" w:rsidRDefault="00BE21E6">
            <w:pPr>
              <w:rPr>
                <w:color w:val="000000"/>
              </w:rPr>
            </w:pPr>
            <w:r>
              <w:rPr>
                <w:color w:val="000000"/>
              </w:rPr>
              <w:t>124</w:t>
            </w:r>
          </w:p>
        </w:tc>
      </w:tr>
      <w:tr w:rsidR="00BE21E6" w14:paraId="1D7A6739" w14:textId="77777777" w:rsidTr="00F405CE">
        <w:trPr>
          <w:trHeight w:val="270"/>
        </w:trPr>
        <w:tc>
          <w:tcPr>
            <w:tcW w:w="6308" w:type="dxa"/>
            <w:tcBorders>
              <w:top w:val="nil"/>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6F46221F" w14:textId="77777777" w:rsidR="00BE21E6" w:rsidRDefault="00BE21E6">
            <w:r>
              <w:rPr>
                <w:color w:val="000000"/>
              </w:rPr>
              <w:t>National average* for 2021 – total appointments average per 1,000 patient per month</w:t>
            </w:r>
          </w:p>
        </w:tc>
        <w:tc>
          <w:tcPr>
            <w:tcW w:w="1286" w:type="dxa"/>
            <w:tcBorders>
              <w:top w:val="nil"/>
              <w:left w:val="nil"/>
              <w:bottom w:val="single" w:sz="8" w:space="0" w:color="FFFFFF"/>
              <w:right w:val="single" w:sz="8" w:space="0" w:color="FFFFFF"/>
            </w:tcBorders>
            <w:shd w:val="clear" w:color="auto" w:fill="E9EDF4"/>
            <w:tcMar>
              <w:top w:w="72" w:type="dxa"/>
              <w:left w:w="144" w:type="dxa"/>
              <w:bottom w:w="72" w:type="dxa"/>
              <w:right w:w="144" w:type="dxa"/>
            </w:tcMar>
            <w:hideMark/>
          </w:tcPr>
          <w:p w14:paraId="7097F845" w14:textId="77777777" w:rsidR="00BE21E6" w:rsidRDefault="00BE21E6"/>
        </w:tc>
        <w:tc>
          <w:tcPr>
            <w:tcW w:w="1287" w:type="dxa"/>
            <w:tcBorders>
              <w:top w:val="nil"/>
              <w:left w:val="nil"/>
              <w:bottom w:val="single" w:sz="8" w:space="0" w:color="FFFFFF"/>
              <w:right w:val="single" w:sz="8" w:space="0" w:color="FFFFFF"/>
            </w:tcBorders>
            <w:shd w:val="clear" w:color="auto" w:fill="E9EDF4"/>
          </w:tcPr>
          <w:p w14:paraId="111C5665" w14:textId="77777777" w:rsidR="00BE21E6" w:rsidRDefault="00BE21E6">
            <w:pPr>
              <w:rPr>
                <w:color w:val="000000"/>
              </w:rPr>
            </w:pPr>
          </w:p>
        </w:tc>
        <w:tc>
          <w:tcPr>
            <w:tcW w:w="1287" w:type="dxa"/>
            <w:tcBorders>
              <w:top w:val="nil"/>
              <w:left w:val="nil"/>
              <w:bottom w:val="single" w:sz="8" w:space="0" w:color="FFFFFF"/>
              <w:right w:val="single" w:sz="8" w:space="0" w:color="FFFFFF"/>
            </w:tcBorders>
            <w:shd w:val="clear" w:color="auto" w:fill="E9EDF4"/>
            <w:hideMark/>
          </w:tcPr>
          <w:p w14:paraId="072B26C1" w14:textId="77777777" w:rsidR="00BE21E6" w:rsidRDefault="00BE21E6">
            <w:pPr>
              <w:rPr>
                <w:color w:val="000000"/>
              </w:rPr>
            </w:pPr>
            <w:r>
              <w:rPr>
                <w:color w:val="000000"/>
              </w:rPr>
              <w:t>542</w:t>
            </w:r>
          </w:p>
        </w:tc>
      </w:tr>
    </w:tbl>
    <w:p w14:paraId="6EE53B8B" w14:textId="77777777" w:rsidR="00DC151E" w:rsidRDefault="00DC151E" w:rsidP="00DC151E">
      <w:pPr>
        <w:ind w:left="720"/>
      </w:pPr>
    </w:p>
    <w:p w14:paraId="3960BD75" w14:textId="77777777" w:rsidR="00DC151E" w:rsidRDefault="00DC151E" w:rsidP="00DC151E">
      <w:pPr>
        <w:pStyle w:val="ListParagraph"/>
      </w:pPr>
    </w:p>
    <w:p w14:paraId="4F51142F" w14:textId="77777777" w:rsidR="00DC151E" w:rsidRDefault="00DC151E" w:rsidP="00DC151E">
      <w:pPr>
        <w:numPr>
          <w:ilvl w:val="0"/>
          <w:numId w:val="3"/>
        </w:numPr>
        <w:rPr>
          <w:rFonts w:eastAsia="Times New Roman"/>
        </w:rPr>
      </w:pPr>
      <w:r>
        <w:rPr>
          <w:rFonts w:eastAsia="Times New Roman"/>
        </w:rPr>
        <w:t>Practices are advised to check their appointment mapping</w:t>
      </w:r>
      <w:r>
        <w:rPr>
          <w:rFonts w:eastAsia="Times New Roman"/>
          <w:color w:val="00B050"/>
        </w:rPr>
        <w:t xml:space="preserve"> </w:t>
      </w:r>
      <w:r w:rsidRPr="00093D01">
        <w:rPr>
          <w:rFonts w:eastAsia="Times New Roman"/>
        </w:rPr>
        <w:t>considering the data above to consider the support they may need to discuss with the PC Place leads</w:t>
      </w:r>
    </w:p>
    <w:p w14:paraId="74803161" w14:textId="77777777" w:rsidR="00DC151E" w:rsidRDefault="00DC151E" w:rsidP="00DC151E">
      <w:pPr>
        <w:ind w:left="720"/>
      </w:pPr>
    </w:p>
    <w:p w14:paraId="74F33C10" w14:textId="77777777" w:rsidR="00DC151E" w:rsidRDefault="00DC151E" w:rsidP="00DC151E">
      <w:pPr>
        <w:numPr>
          <w:ilvl w:val="0"/>
          <w:numId w:val="3"/>
        </w:numPr>
        <w:rPr>
          <w:rFonts w:eastAsia="Times New Roman"/>
        </w:rPr>
      </w:pPr>
      <w:r>
        <w:rPr>
          <w:rFonts w:eastAsia="Times New Roman"/>
        </w:rPr>
        <w:t xml:space="preserve">Be ready to communicate with PPGs, key stakeholders and </w:t>
      </w:r>
      <w:r w:rsidRPr="00093D01">
        <w:rPr>
          <w:rFonts w:eastAsia="Times New Roman"/>
        </w:rPr>
        <w:t>patients promoting the excellence in general practice and highlighting the NHSE statement on the experimental nature of the data with more work to do to truly reflect the work in practices</w:t>
      </w:r>
    </w:p>
    <w:p w14:paraId="32542C52" w14:textId="77777777" w:rsidR="00DC151E" w:rsidRDefault="00DC151E" w:rsidP="00DC151E">
      <w:pPr>
        <w:pStyle w:val="ListParagraph"/>
      </w:pPr>
    </w:p>
    <w:p w14:paraId="62351F07" w14:textId="77777777" w:rsidR="00DC151E" w:rsidRDefault="00DC151E" w:rsidP="00DC151E">
      <w:pPr>
        <w:rPr>
          <w:b/>
          <w:bCs/>
        </w:rPr>
      </w:pPr>
      <w:r>
        <w:rPr>
          <w:b/>
          <w:bCs/>
        </w:rPr>
        <w:t>What the ICB will do …</w:t>
      </w:r>
    </w:p>
    <w:p w14:paraId="2AF43632" w14:textId="77777777" w:rsidR="00DC151E" w:rsidRDefault="00DC151E" w:rsidP="00DC151E">
      <w:pPr>
        <w:rPr>
          <w:b/>
          <w:bCs/>
        </w:rPr>
      </w:pPr>
    </w:p>
    <w:p w14:paraId="75CFF028" w14:textId="77777777" w:rsidR="00DC151E" w:rsidRDefault="00DC151E" w:rsidP="00DC151E">
      <w:pPr>
        <w:pStyle w:val="ListParagraph"/>
        <w:numPr>
          <w:ilvl w:val="0"/>
          <w:numId w:val="4"/>
        </w:numPr>
        <w:rPr>
          <w:rFonts w:eastAsia="Times New Roman"/>
        </w:rPr>
      </w:pPr>
      <w:r>
        <w:rPr>
          <w:rFonts w:eastAsia="Times New Roman"/>
        </w:rPr>
        <w:t xml:space="preserve">Prepare a proactive/reactive press </w:t>
      </w:r>
      <w:proofErr w:type="gramStart"/>
      <w:r>
        <w:rPr>
          <w:rFonts w:eastAsia="Times New Roman"/>
        </w:rPr>
        <w:t>statements</w:t>
      </w:r>
      <w:proofErr w:type="gramEnd"/>
    </w:p>
    <w:p w14:paraId="453D201F" w14:textId="77777777" w:rsidR="00DC151E" w:rsidRPr="00093D01" w:rsidRDefault="00DC151E" w:rsidP="00DC151E">
      <w:pPr>
        <w:pStyle w:val="ListParagraph"/>
        <w:numPr>
          <w:ilvl w:val="0"/>
          <w:numId w:val="4"/>
        </w:numPr>
        <w:rPr>
          <w:rFonts w:eastAsia="Times New Roman"/>
        </w:rPr>
      </w:pPr>
      <w:r>
        <w:rPr>
          <w:rFonts w:eastAsia="Times New Roman"/>
        </w:rPr>
        <w:t xml:space="preserve">Share content </w:t>
      </w:r>
      <w:r w:rsidRPr="00093D01">
        <w:rPr>
          <w:rFonts w:eastAsia="Times New Roman"/>
        </w:rPr>
        <w:t>for use on Practice websites and to adjust for wider practice communication channels</w:t>
      </w:r>
    </w:p>
    <w:p w14:paraId="55062D30" w14:textId="77777777" w:rsidR="00DC151E" w:rsidRDefault="00DC151E" w:rsidP="00DC151E">
      <w:pPr>
        <w:pStyle w:val="ListParagraph"/>
        <w:numPr>
          <w:ilvl w:val="0"/>
          <w:numId w:val="4"/>
        </w:numPr>
        <w:rPr>
          <w:rFonts w:eastAsia="Times New Roman"/>
        </w:rPr>
      </w:pPr>
      <w:r w:rsidRPr="00093D01">
        <w:rPr>
          <w:rFonts w:eastAsia="Times New Roman"/>
        </w:rPr>
        <w:t xml:space="preserve">Provide support from </w:t>
      </w:r>
      <w:r>
        <w:rPr>
          <w:rFonts w:eastAsia="Times New Roman"/>
        </w:rPr>
        <w:t>Digital First Change Specialists (accessed via your Place Teams) to understand your Appointment data and/or ensure your appointment mapping is accurate</w:t>
      </w:r>
    </w:p>
    <w:p w14:paraId="690061CD" w14:textId="77777777" w:rsidR="00DC151E" w:rsidRDefault="00DC151E" w:rsidP="00DC151E">
      <w:pPr>
        <w:pStyle w:val="ListParagraph"/>
        <w:numPr>
          <w:ilvl w:val="0"/>
          <w:numId w:val="4"/>
        </w:numPr>
        <w:rPr>
          <w:rFonts w:eastAsia="Times New Roman"/>
        </w:rPr>
      </w:pPr>
      <w:r>
        <w:rPr>
          <w:rFonts w:eastAsia="Times New Roman"/>
        </w:rPr>
        <w:t>Support Practices to engage in the National Accelerate Programme (an intensive, bespoke programme of support available to Practices)</w:t>
      </w:r>
    </w:p>
    <w:p w14:paraId="4EB4EDBB" w14:textId="77777777" w:rsidR="00DC151E" w:rsidRDefault="00DC151E" w:rsidP="00DC151E">
      <w:pPr>
        <w:pStyle w:val="ListParagraph"/>
        <w:numPr>
          <w:ilvl w:val="2"/>
          <w:numId w:val="4"/>
        </w:numPr>
        <w:rPr>
          <w:rFonts w:eastAsia="Times New Roman"/>
        </w:rPr>
      </w:pPr>
      <w:r>
        <w:rPr>
          <w:rFonts w:eastAsia="Times New Roman"/>
        </w:rPr>
        <w:t xml:space="preserve">Gateway to accessing support is via Practice Webinars, </w:t>
      </w:r>
      <w:hyperlink r:id="rId8" w:history="1">
        <w:r>
          <w:rPr>
            <w:rStyle w:val="Hyperlink"/>
            <w:rFonts w:eastAsia="Times New Roman"/>
          </w:rPr>
          <w:t>Accelerate Phase V Introductory Webinar Registration Form</w:t>
        </w:r>
      </w:hyperlink>
      <w:r>
        <w:rPr>
          <w:rFonts w:eastAsia="Times New Roman"/>
          <w:u w:val="single"/>
        </w:rPr>
        <w:t xml:space="preserve">.  </w:t>
      </w:r>
    </w:p>
    <w:p w14:paraId="0E110D3B" w14:textId="77777777" w:rsidR="00DC151E" w:rsidRDefault="00DC151E" w:rsidP="00DC151E">
      <w:pPr>
        <w:pStyle w:val="ListParagraph"/>
        <w:numPr>
          <w:ilvl w:val="2"/>
          <w:numId w:val="4"/>
        </w:numPr>
        <w:rPr>
          <w:rFonts w:eastAsia="Times New Roman"/>
        </w:rPr>
      </w:pPr>
      <w:r>
        <w:rPr>
          <w:rFonts w:eastAsia="Times New Roman"/>
        </w:rPr>
        <w:t>Webinar Dates</w:t>
      </w:r>
    </w:p>
    <w:p w14:paraId="3F35524C" w14:textId="77777777" w:rsidR="00DC151E" w:rsidRDefault="00DC151E" w:rsidP="00DC151E">
      <w:pPr>
        <w:pStyle w:val="ListParagraph"/>
        <w:numPr>
          <w:ilvl w:val="3"/>
          <w:numId w:val="4"/>
        </w:numPr>
        <w:rPr>
          <w:rFonts w:eastAsia="Times New Roman"/>
          <w:b/>
          <w:bCs/>
        </w:rPr>
      </w:pPr>
      <w:r>
        <w:rPr>
          <w:rFonts w:eastAsia="Times New Roman"/>
          <w:b/>
          <w:bCs/>
        </w:rPr>
        <w:t>W/C 28th Nov 2022</w:t>
      </w:r>
    </w:p>
    <w:p w14:paraId="7BA2FA7C" w14:textId="77777777" w:rsidR="00DC151E" w:rsidRDefault="00DC151E" w:rsidP="00DC151E">
      <w:pPr>
        <w:pStyle w:val="ListParagraph"/>
        <w:numPr>
          <w:ilvl w:val="3"/>
          <w:numId w:val="4"/>
        </w:numPr>
        <w:rPr>
          <w:rFonts w:eastAsia="Times New Roman"/>
        </w:rPr>
      </w:pPr>
      <w:r>
        <w:rPr>
          <w:rFonts w:eastAsia="Times New Roman"/>
        </w:rPr>
        <w:t xml:space="preserve">Mon 28th Nov 4pm </w:t>
      </w:r>
    </w:p>
    <w:p w14:paraId="36704ED3" w14:textId="77777777" w:rsidR="00DC151E" w:rsidRDefault="00DC151E" w:rsidP="00DC151E">
      <w:pPr>
        <w:pStyle w:val="ListParagraph"/>
        <w:numPr>
          <w:ilvl w:val="3"/>
          <w:numId w:val="4"/>
        </w:numPr>
        <w:rPr>
          <w:rFonts w:eastAsia="Times New Roman"/>
        </w:rPr>
      </w:pPr>
      <w:r>
        <w:rPr>
          <w:rFonts w:eastAsia="Times New Roman"/>
        </w:rPr>
        <w:t xml:space="preserve">Tues 29th Nov 12 pm </w:t>
      </w:r>
    </w:p>
    <w:p w14:paraId="0D8CBE29" w14:textId="77777777" w:rsidR="00DC151E" w:rsidRDefault="00DC151E" w:rsidP="00DC151E">
      <w:pPr>
        <w:pStyle w:val="ListParagraph"/>
        <w:numPr>
          <w:ilvl w:val="3"/>
          <w:numId w:val="4"/>
        </w:numPr>
        <w:rPr>
          <w:rFonts w:eastAsia="Times New Roman"/>
        </w:rPr>
      </w:pPr>
      <w:r>
        <w:rPr>
          <w:rFonts w:eastAsia="Times New Roman"/>
        </w:rPr>
        <w:t xml:space="preserve">Weds 30th Nov 12pm </w:t>
      </w:r>
    </w:p>
    <w:p w14:paraId="6B67E5A3" w14:textId="77777777" w:rsidR="00DC151E" w:rsidRDefault="00DC151E" w:rsidP="00DC151E">
      <w:pPr>
        <w:pStyle w:val="ListParagraph"/>
        <w:numPr>
          <w:ilvl w:val="3"/>
          <w:numId w:val="4"/>
        </w:numPr>
        <w:rPr>
          <w:rFonts w:eastAsia="Times New Roman"/>
        </w:rPr>
      </w:pPr>
      <w:r>
        <w:rPr>
          <w:rFonts w:eastAsia="Times New Roman"/>
        </w:rPr>
        <w:t xml:space="preserve">Thurs 1st Dec 4pm </w:t>
      </w:r>
    </w:p>
    <w:p w14:paraId="0BE187A4" w14:textId="77777777" w:rsidR="00DC151E" w:rsidRDefault="00DC151E" w:rsidP="00DC151E">
      <w:pPr>
        <w:pStyle w:val="ListParagraph"/>
      </w:pPr>
      <w:r>
        <w:t> </w:t>
      </w:r>
    </w:p>
    <w:p w14:paraId="661D67EE" w14:textId="77777777" w:rsidR="00DC151E" w:rsidRDefault="00DC151E" w:rsidP="00DC151E">
      <w:pPr>
        <w:pStyle w:val="ListParagraph"/>
        <w:numPr>
          <w:ilvl w:val="3"/>
          <w:numId w:val="4"/>
        </w:numPr>
        <w:rPr>
          <w:rFonts w:eastAsia="Times New Roman"/>
          <w:b/>
          <w:bCs/>
        </w:rPr>
      </w:pPr>
      <w:r>
        <w:rPr>
          <w:rFonts w:eastAsia="Times New Roman"/>
          <w:b/>
          <w:bCs/>
        </w:rPr>
        <w:t>Dec 2022</w:t>
      </w:r>
    </w:p>
    <w:p w14:paraId="11290EFF" w14:textId="77777777" w:rsidR="00DC151E" w:rsidRDefault="00DC151E" w:rsidP="00DC151E">
      <w:pPr>
        <w:pStyle w:val="ListParagraph"/>
        <w:numPr>
          <w:ilvl w:val="3"/>
          <w:numId w:val="4"/>
        </w:numPr>
        <w:rPr>
          <w:rFonts w:eastAsia="Times New Roman"/>
        </w:rPr>
      </w:pPr>
      <w:r>
        <w:rPr>
          <w:rFonts w:eastAsia="Times New Roman"/>
        </w:rPr>
        <w:t xml:space="preserve">Mon 5th Dec 4pm </w:t>
      </w:r>
    </w:p>
    <w:p w14:paraId="6F3117F0" w14:textId="77777777" w:rsidR="00DC151E" w:rsidRDefault="00DC151E" w:rsidP="00DC151E">
      <w:pPr>
        <w:pStyle w:val="ListParagraph"/>
        <w:numPr>
          <w:ilvl w:val="3"/>
          <w:numId w:val="4"/>
        </w:numPr>
        <w:rPr>
          <w:rFonts w:eastAsia="Times New Roman"/>
        </w:rPr>
      </w:pPr>
      <w:r>
        <w:rPr>
          <w:rFonts w:eastAsia="Times New Roman"/>
        </w:rPr>
        <w:t xml:space="preserve">Tue 6th Dec 12pm </w:t>
      </w:r>
    </w:p>
    <w:p w14:paraId="49704115" w14:textId="77777777" w:rsidR="00DC151E" w:rsidRDefault="00DC151E" w:rsidP="00DC151E">
      <w:pPr>
        <w:pStyle w:val="ListParagraph"/>
        <w:numPr>
          <w:ilvl w:val="3"/>
          <w:numId w:val="4"/>
        </w:numPr>
        <w:rPr>
          <w:rFonts w:eastAsia="Times New Roman"/>
        </w:rPr>
      </w:pPr>
      <w:r>
        <w:rPr>
          <w:rFonts w:eastAsia="Times New Roman"/>
        </w:rPr>
        <w:t xml:space="preserve">Weds 7th Dec 4pm </w:t>
      </w:r>
    </w:p>
    <w:p w14:paraId="727D95DF" w14:textId="77777777" w:rsidR="00DC151E" w:rsidRDefault="00DC151E" w:rsidP="00DC151E">
      <w:pPr>
        <w:pStyle w:val="ListParagraph"/>
        <w:numPr>
          <w:ilvl w:val="3"/>
          <w:numId w:val="4"/>
        </w:numPr>
        <w:rPr>
          <w:rFonts w:eastAsia="Times New Roman"/>
        </w:rPr>
      </w:pPr>
      <w:r>
        <w:rPr>
          <w:rFonts w:eastAsia="Times New Roman"/>
        </w:rPr>
        <w:t xml:space="preserve">Thurs 8th Dec 12pm </w:t>
      </w:r>
    </w:p>
    <w:p w14:paraId="56EB84A5" w14:textId="77777777" w:rsidR="00DC151E" w:rsidRDefault="00DC151E" w:rsidP="00DC151E">
      <w:pPr>
        <w:pStyle w:val="ListParagraph"/>
        <w:ind w:left="1440"/>
      </w:pPr>
    </w:p>
    <w:p w14:paraId="244C98DE" w14:textId="77777777" w:rsidR="00DC151E" w:rsidRDefault="00DC151E" w:rsidP="00DC151E"/>
    <w:p w14:paraId="299137D8" w14:textId="77777777" w:rsidR="00DC151E" w:rsidRDefault="00DC151E" w:rsidP="00DC151E">
      <w:pPr>
        <w:rPr>
          <w:b/>
          <w:bCs/>
        </w:rPr>
      </w:pPr>
      <w:r>
        <w:rPr>
          <w:b/>
          <w:bCs/>
        </w:rPr>
        <w:t>What is being done Nationally …</w:t>
      </w:r>
    </w:p>
    <w:p w14:paraId="43181FFA" w14:textId="77777777" w:rsidR="00DC151E" w:rsidRDefault="00DC151E" w:rsidP="00DC151E">
      <w:pPr>
        <w:rPr>
          <w:b/>
          <w:bCs/>
        </w:rPr>
      </w:pPr>
    </w:p>
    <w:p w14:paraId="0F8F90BE" w14:textId="77777777" w:rsidR="00DC151E" w:rsidRPr="00093D01" w:rsidRDefault="00DC151E" w:rsidP="00DC151E">
      <w:pPr>
        <w:pStyle w:val="ListParagraph"/>
        <w:numPr>
          <w:ilvl w:val="0"/>
          <w:numId w:val="5"/>
        </w:numPr>
        <w:rPr>
          <w:rFonts w:eastAsia="Times New Roman"/>
        </w:rPr>
      </w:pPr>
      <w:r>
        <w:rPr>
          <w:rFonts w:eastAsia="Times New Roman"/>
        </w:rPr>
        <w:t xml:space="preserve">Work is ongoing to improve the quality of GP appointment data as well as to expand the </w:t>
      </w:r>
      <w:r w:rsidRPr="00093D01">
        <w:rPr>
          <w:rFonts w:eastAsia="Times New Roman"/>
        </w:rPr>
        <w:t>coverage of collection to include online consultation and enhanced access provision.</w:t>
      </w:r>
    </w:p>
    <w:p w14:paraId="11B0711D" w14:textId="77777777" w:rsidR="00DC151E" w:rsidRPr="00093D01" w:rsidRDefault="00DC151E" w:rsidP="00DC151E">
      <w:pPr>
        <w:pStyle w:val="ListParagraph"/>
        <w:numPr>
          <w:ilvl w:val="0"/>
          <w:numId w:val="5"/>
        </w:numPr>
        <w:rPr>
          <w:rFonts w:eastAsia="Times New Roman"/>
        </w:rPr>
      </w:pPr>
      <w:r w:rsidRPr="00093D01">
        <w:rPr>
          <w:rFonts w:eastAsia="Times New Roman"/>
        </w:rPr>
        <w:t>National communications as described through the link above on the status of the data being experimental and work continues to improve the quality of the data collection</w:t>
      </w:r>
    </w:p>
    <w:p w14:paraId="55F83A84" w14:textId="77777777" w:rsidR="00C30310" w:rsidRDefault="00C30310"/>
    <w:sectPr w:rsidR="00C3031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E96E50"/>
    <w:multiLevelType w:val="hybridMultilevel"/>
    <w:tmpl w:val="6554A6D8"/>
    <w:lvl w:ilvl="0" w:tplc="08090005">
      <w:start w:val="1"/>
      <w:numFmt w:val="bullet"/>
      <w:lvlText w:val=""/>
      <w:lvlJc w:val="left"/>
      <w:pPr>
        <w:tabs>
          <w:tab w:val="num" w:pos="720"/>
        </w:tabs>
        <w:ind w:left="720" w:hanging="360"/>
      </w:pPr>
      <w:rPr>
        <w:rFonts w:ascii="Wingdings" w:hAnsi="Wingdings" w:hint="default"/>
      </w:rPr>
    </w:lvl>
    <w:lvl w:ilvl="1" w:tplc="F16EA5FA">
      <w:start w:val="1"/>
      <w:numFmt w:val="bullet"/>
      <w:lvlText w:val="•"/>
      <w:lvlJc w:val="left"/>
      <w:pPr>
        <w:tabs>
          <w:tab w:val="num" w:pos="1440"/>
        </w:tabs>
        <w:ind w:left="1440" w:hanging="360"/>
      </w:pPr>
      <w:rPr>
        <w:rFonts w:ascii="Arial" w:hAnsi="Arial" w:cs="Times New Roman" w:hint="default"/>
      </w:rPr>
    </w:lvl>
    <w:lvl w:ilvl="2" w:tplc="D0A02E68">
      <w:start w:val="1"/>
      <w:numFmt w:val="bullet"/>
      <w:lvlText w:val="•"/>
      <w:lvlJc w:val="left"/>
      <w:pPr>
        <w:tabs>
          <w:tab w:val="num" w:pos="2160"/>
        </w:tabs>
        <w:ind w:left="2160" w:hanging="360"/>
      </w:pPr>
      <w:rPr>
        <w:rFonts w:ascii="Arial" w:hAnsi="Arial" w:cs="Times New Roman" w:hint="default"/>
      </w:rPr>
    </w:lvl>
    <w:lvl w:ilvl="3" w:tplc="A276FBCC">
      <w:start w:val="1"/>
      <w:numFmt w:val="bullet"/>
      <w:lvlText w:val="•"/>
      <w:lvlJc w:val="left"/>
      <w:pPr>
        <w:tabs>
          <w:tab w:val="num" w:pos="2880"/>
        </w:tabs>
        <w:ind w:left="2880" w:hanging="360"/>
      </w:pPr>
      <w:rPr>
        <w:rFonts w:ascii="Arial" w:hAnsi="Arial" w:cs="Times New Roman" w:hint="default"/>
      </w:rPr>
    </w:lvl>
    <w:lvl w:ilvl="4" w:tplc="717E55C8">
      <w:start w:val="1"/>
      <w:numFmt w:val="bullet"/>
      <w:lvlText w:val="•"/>
      <w:lvlJc w:val="left"/>
      <w:pPr>
        <w:tabs>
          <w:tab w:val="num" w:pos="3600"/>
        </w:tabs>
        <w:ind w:left="3600" w:hanging="360"/>
      </w:pPr>
      <w:rPr>
        <w:rFonts w:ascii="Arial" w:hAnsi="Arial" w:cs="Times New Roman" w:hint="default"/>
      </w:rPr>
    </w:lvl>
    <w:lvl w:ilvl="5" w:tplc="4816D944">
      <w:start w:val="1"/>
      <w:numFmt w:val="bullet"/>
      <w:lvlText w:val="•"/>
      <w:lvlJc w:val="left"/>
      <w:pPr>
        <w:tabs>
          <w:tab w:val="num" w:pos="4320"/>
        </w:tabs>
        <w:ind w:left="4320" w:hanging="360"/>
      </w:pPr>
      <w:rPr>
        <w:rFonts w:ascii="Arial" w:hAnsi="Arial" w:cs="Times New Roman" w:hint="default"/>
      </w:rPr>
    </w:lvl>
    <w:lvl w:ilvl="6" w:tplc="C216381E">
      <w:start w:val="1"/>
      <w:numFmt w:val="bullet"/>
      <w:lvlText w:val="•"/>
      <w:lvlJc w:val="left"/>
      <w:pPr>
        <w:tabs>
          <w:tab w:val="num" w:pos="5040"/>
        </w:tabs>
        <w:ind w:left="5040" w:hanging="360"/>
      </w:pPr>
      <w:rPr>
        <w:rFonts w:ascii="Arial" w:hAnsi="Arial" w:cs="Times New Roman" w:hint="default"/>
      </w:rPr>
    </w:lvl>
    <w:lvl w:ilvl="7" w:tplc="1EA640F8">
      <w:start w:val="1"/>
      <w:numFmt w:val="bullet"/>
      <w:lvlText w:val="•"/>
      <w:lvlJc w:val="left"/>
      <w:pPr>
        <w:tabs>
          <w:tab w:val="num" w:pos="5760"/>
        </w:tabs>
        <w:ind w:left="5760" w:hanging="360"/>
      </w:pPr>
      <w:rPr>
        <w:rFonts w:ascii="Arial" w:hAnsi="Arial" w:cs="Times New Roman" w:hint="default"/>
      </w:rPr>
    </w:lvl>
    <w:lvl w:ilvl="8" w:tplc="FA1A6108">
      <w:start w:val="1"/>
      <w:numFmt w:val="bullet"/>
      <w:lvlText w:val="•"/>
      <w:lvlJc w:val="left"/>
      <w:pPr>
        <w:tabs>
          <w:tab w:val="num" w:pos="6480"/>
        </w:tabs>
        <w:ind w:left="6480" w:hanging="360"/>
      </w:pPr>
      <w:rPr>
        <w:rFonts w:ascii="Arial" w:hAnsi="Arial" w:cs="Times New Roman" w:hint="default"/>
      </w:rPr>
    </w:lvl>
  </w:abstractNum>
  <w:abstractNum w:abstractNumId="1" w15:restartNumberingAfterBreak="0">
    <w:nsid w:val="294F753B"/>
    <w:multiLevelType w:val="hybridMultilevel"/>
    <w:tmpl w:val="F334D060"/>
    <w:lvl w:ilvl="0" w:tplc="08090005">
      <w:start w:val="1"/>
      <w:numFmt w:val="bullet"/>
      <w:lvlText w:val=""/>
      <w:lvlJc w:val="left"/>
      <w:pPr>
        <w:tabs>
          <w:tab w:val="num" w:pos="720"/>
        </w:tabs>
        <w:ind w:left="720" w:hanging="360"/>
      </w:pPr>
      <w:rPr>
        <w:rFonts w:ascii="Wingdings" w:hAnsi="Wingdings" w:hint="default"/>
      </w:rPr>
    </w:lvl>
    <w:lvl w:ilvl="1" w:tplc="29A4EF7E">
      <w:start w:val="1"/>
      <w:numFmt w:val="bullet"/>
      <w:lvlText w:val="•"/>
      <w:lvlJc w:val="left"/>
      <w:pPr>
        <w:tabs>
          <w:tab w:val="num" w:pos="1440"/>
        </w:tabs>
        <w:ind w:left="1440" w:hanging="360"/>
      </w:pPr>
      <w:rPr>
        <w:rFonts w:ascii="Arial" w:hAnsi="Arial" w:cs="Times New Roman" w:hint="default"/>
      </w:rPr>
    </w:lvl>
    <w:lvl w:ilvl="2" w:tplc="49BC03EC">
      <w:start w:val="1"/>
      <w:numFmt w:val="bullet"/>
      <w:lvlText w:val="•"/>
      <w:lvlJc w:val="left"/>
      <w:pPr>
        <w:tabs>
          <w:tab w:val="num" w:pos="2160"/>
        </w:tabs>
        <w:ind w:left="2160" w:hanging="360"/>
      </w:pPr>
      <w:rPr>
        <w:rFonts w:ascii="Arial" w:hAnsi="Arial" w:cs="Times New Roman" w:hint="default"/>
      </w:rPr>
    </w:lvl>
    <w:lvl w:ilvl="3" w:tplc="C2B2A6F6">
      <w:start w:val="1"/>
      <w:numFmt w:val="bullet"/>
      <w:lvlText w:val="•"/>
      <w:lvlJc w:val="left"/>
      <w:pPr>
        <w:tabs>
          <w:tab w:val="num" w:pos="2880"/>
        </w:tabs>
        <w:ind w:left="2880" w:hanging="360"/>
      </w:pPr>
      <w:rPr>
        <w:rFonts w:ascii="Arial" w:hAnsi="Arial" w:cs="Times New Roman" w:hint="default"/>
      </w:rPr>
    </w:lvl>
    <w:lvl w:ilvl="4" w:tplc="A4E8C0DE">
      <w:start w:val="1"/>
      <w:numFmt w:val="bullet"/>
      <w:lvlText w:val="•"/>
      <w:lvlJc w:val="left"/>
      <w:pPr>
        <w:tabs>
          <w:tab w:val="num" w:pos="3600"/>
        </w:tabs>
        <w:ind w:left="3600" w:hanging="360"/>
      </w:pPr>
      <w:rPr>
        <w:rFonts w:ascii="Arial" w:hAnsi="Arial" w:cs="Times New Roman" w:hint="default"/>
      </w:rPr>
    </w:lvl>
    <w:lvl w:ilvl="5" w:tplc="95B26846">
      <w:start w:val="1"/>
      <w:numFmt w:val="bullet"/>
      <w:lvlText w:val="•"/>
      <w:lvlJc w:val="left"/>
      <w:pPr>
        <w:tabs>
          <w:tab w:val="num" w:pos="4320"/>
        </w:tabs>
        <w:ind w:left="4320" w:hanging="360"/>
      </w:pPr>
      <w:rPr>
        <w:rFonts w:ascii="Arial" w:hAnsi="Arial" w:cs="Times New Roman" w:hint="default"/>
      </w:rPr>
    </w:lvl>
    <w:lvl w:ilvl="6" w:tplc="DE840A30">
      <w:start w:val="1"/>
      <w:numFmt w:val="bullet"/>
      <w:lvlText w:val="•"/>
      <w:lvlJc w:val="left"/>
      <w:pPr>
        <w:tabs>
          <w:tab w:val="num" w:pos="5040"/>
        </w:tabs>
        <w:ind w:left="5040" w:hanging="360"/>
      </w:pPr>
      <w:rPr>
        <w:rFonts w:ascii="Arial" w:hAnsi="Arial" w:cs="Times New Roman" w:hint="default"/>
      </w:rPr>
    </w:lvl>
    <w:lvl w:ilvl="7" w:tplc="52C6DE36">
      <w:start w:val="1"/>
      <w:numFmt w:val="bullet"/>
      <w:lvlText w:val="•"/>
      <w:lvlJc w:val="left"/>
      <w:pPr>
        <w:tabs>
          <w:tab w:val="num" w:pos="5760"/>
        </w:tabs>
        <w:ind w:left="5760" w:hanging="360"/>
      </w:pPr>
      <w:rPr>
        <w:rFonts w:ascii="Arial" w:hAnsi="Arial" w:cs="Times New Roman" w:hint="default"/>
      </w:rPr>
    </w:lvl>
    <w:lvl w:ilvl="8" w:tplc="67163F88">
      <w:start w:val="1"/>
      <w:numFmt w:val="bullet"/>
      <w:lvlText w:val="•"/>
      <w:lvlJc w:val="left"/>
      <w:pPr>
        <w:tabs>
          <w:tab w:val="num" w:pos="6480"/>
        </w:tabs>
        <w:ind w:left="6480" w:hanging="360"/>
      </w:pPr>
      <w:rPr>
        <w:rFonts w:ascii="Arial" w:hAnsi="Arial" w:cs="Times New Roman" w:hint="default"/>
      </w:rPr>
    </w:lvl>
  </w:abstractNum>
  <w:abstractNum w:abstractNumId="2" w15:restartNumberingAfterBreak="0">
    <w:nsid w:val="458E229E"/>
    <w:multiLevelType w:val="hybridMultilevel"/>
    <w:tmpl w:val="A1EA0EE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5B0C2EB1"/>
    <w:multiLevelType w:val="hybridMultilevel"/>
    <w:tmpl w:val="F740DBFE"/>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64914AC4"/>
    <w:multiLevelType w:val="hybridMultilevel"/>
    <w:tmpl w:val="001224D4"/>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116879021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301424306">
    <w:abstractNumId w:val="1"/>
  </w:num>
  <w:num w:numId="3" w16cid:durableId="611135317">
    <w:abstractNumId w:val="0"/>
  </w:num>
  <w:num w:numId="4" w16cid:durableId="1548027958">
    <w:abstractNumId w:val="4"/>
  </w:num>
  <w:num w:numId="5" w16cid:durableId="148053509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151E"/>
    <w:rsid w:val="00093D01"/>
    <w:rsid w:val="00302D2A"/>
    <w:rsid w:val="00BE21E6"/>
    <w:rsid w:val="00C30310"/>
    <w:rsid w:val="00DC151E"/>
    <w:rsid w:val="00EE62F9"/>
    <w:rsid w:val="00F405C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D39FB0"/>
  <w15:chartTrackingRefBased/>
  <w15:docId w15:val="{79DCBE8E-D57D-45CD-A1FD-FF109874AC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C151E"/>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DC151E"/>
    <w:rPr>
      <w:color w:val="0563C1"/>
      <w:u w:val="single"/>
    </w:rPr>
  </w:style>
  <w:style w:type="paragraph" w:styleId="ListParagraph">
    <w:name w:val="List Paragraph"/>
    <w:basedOn w:val="Normal"/>
    <w:uiPriority w:val="34"/>
    <w:qFormat/>
    <w:rsid w:val="00DC151E"/>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8253720">
      <w:bodyDiv w:val="1"/>
      <w:marLeft w:val="0"/>
      <w:marRight w:val="0"/>
      <w:marTop w:val="0"/>
      <w:marBottom w:val="0"/>
      <w:divBdr>
        <w:top w:val="none" w:sz="0" w:space="0" w:color="auto"/>
        <w:left w:val="none" w:sz="0" w:space="0" w:color="auto"/>
        <w:bottom w:val="none" w:sz="0" w:space="0" w:color="auto"/>
        <w:right w:val="none" w:sz="0" w:space="0" w:color="auto"/>
      </w:divBdr>
    </w:div>
    <w:div w:id="12966404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br01.safelinks.protection.outlook.com/?url=https%3A%2F%2Fforms.office.com%2FPages%2FResponsePage.aspx%3Fid%3Dkp4VA8ZyI0umSq9Q55Ctv3Dfu5oOnJpJgqC0m9UP8GZUNjhRTksyRklYVDVRU1VZOExZQVFQM0tLMiQlQCN0PWcu&amp;data=05%7C01%7Ckatie.darienzo%40nhs.net%7Ccaa9efcee5914cfcffba08dac7ed1ac3%7C37c354b285b047f5b22207b48d774ee3%7C0%7C0%7C638042118409886816%7CUnknown%7CTWFpbGZsb3d8eyJWIjoiMC4wLjAwMDAiLCJQIjoiV2luMzIiLCJBTiI6Ik1haWwiLCJXVCI6Mn0%3D%7C3000%7C%7C%7C&amp;sdata=5R1DXIHAU5Gdgsz6sIF36ok6u8dw2xkxrUQF0AGErN8%3D&amp;reserved=0" TargetMode="External"/><Relationship Id="rId3" Type="http://schemas.openxmlformats.org/officeDocument/2006/relationships/settings" Target="settings.xml"/><Relationship Id="rId7" Type="http://schemas.openxmlformats.org/officeDocument/2006/relationships/hyperlink" Target="https://gbr01.safelinks.protection.outlook.com/?url=https%3A%2F%2Fdigital.nhs.uk%2Fdashboards%2Fgp-appointments-data-dashboard%23%3A~%3Atext%3DThe%2520GP%2520Appointments%2520Data%2520(GPAD)%2520Dashboard%2520provides%2520information%2520about%2520scheduled%2Cseasonal%2520pressures%2520for%2520management%2520information&amp;data=05%7C01%7Ckatie.darienzo%40nhs.net%7Ccaa9efcee5914cfcffba08dac7ed1ac3%7C37c354b285b047f5b22207b48d774ee3%7C0%7C0%7C638042118409886816%7CUnknown%7CTWFpbGZsb3d8eyJWIjoiMC4wLjAwMDAiLCJQIjoiV2luMzIiLCJBTiI6Ik1haWwiLCJXVCI6Mn0%3D%7C3000%7C%7C%7C&amp;sdata=dQ%2F1jhqwQ2B7ofxh8vJ%2F%2BViDayE3yYFg531rE01WhM4%3D&amp;reserved=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gbr01.safelinks.protection.outlook.com/?url=https%3A%2F%2Fdigital.nhs.uk%2Fdata-and-information%2Fpublications%2Fstatistical%2Fappointments-in-general-practice%2Fappointments-in-general-practice-supporting-information&amp;data=05%7C01%7Ckatie.darienzo%40nhs.net%7Ccaa9efcee5914cfcffba08dac7ed1ac3%7C37c354b285b047f5b22207b48d774ee3%7C0%7C0%7C638042118409886816%7CUnknown%7CTWFpbGZsb3d8eyJWIjoiMC4wLjAwMDAiLCJQIjoiV2luMzIiLCJBTiI6Ik1haWwiLCJXVCI6Mn0%3D%7C3000%7C%7C%7C&amp;sdata=frAymHqsiMvYUMeHPS1xPFtPTUXVNNoS9zDcFJgt7ww%3D&amp;reserved=0" TargetMode="External"/><Relationship Id="rId5" Type="http://schemas.openxmlformats.org/officeDocument/2006/relationships/hyperlink" Target="https://gbr01.safelinks.protection.outlook.com/?url=https%3A%2F%2Fwww.gov.uk%2Fgovernment%2Fpublications%2Four-plan-for-patients%2Four-plan-for-patients&amp;data=05%7C01%7Ckatie.darienzo%40nhs.net%7Ccaa9efcee5914cfcffba08dac7ed1ac3%7C37c354b285b047f5b22207b48d774ee3%7C0%7C0%7C638042118409886816%7CUnknown%7CTWFpbGZsb3d8eyJWIjoiMC4wLjAwMDAiLCJQIjoiV2luMzIiLCJBTiI6Ik1haWwiLCJXVCI6Mn0%3D%7C3000%7C%7C%7C&amp;sdata=JQ62HQtAk6i9ROKRL179ELowVpcTC2jxycKtuBCtR00%3D&amp;reserved=0"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936</Words>
  <Characters>5339</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Katie Darienzo</dc:creator>
  <cp:keywords/>
  <dc:description/>
  <cp:lastModifiedBy>Katie Darienzo</cp:lastModifiedBy>
  <cp:revision>2</cp:revision>
  <dcterms:created xsi:type="dcterms:W3CDTF">2022-11-17T11:49:00Z</dcterms:created>
  <dcterms:modified xsi:type="dcterms:W3CDTF">2022-11-17T11:49:00Z</dcterms:modified>
</cp:coreProperties>
</file>