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D6272" w:rsidRPr="00131DDF" w:rsidRDefault="008D6272" w:rsidP="008D6272">
      <w:pPr>
        <w:pBdr>
          <w:top w:val="nil"/>
          <w:left w:val="nil"/>
          <w:bottom w:val="nil"/>
          <w:right w:val="nil"/>
          <w:between w:val="nil"/>
        </w:pBdr>
        <w:jc w:val="both"/>
        <w:rPr>
          <w:rFonts w:asciiTheme="majorHAnsi" w:eastAsia="Helvetica Neue" w:hAnsiTheme="majorHAnsi" w:cs="Helvetica Neue"/>
          <w:color w:val="000000"/>
        </w:rPr>
      </w:pPr>
      <w:bookmarkStart w:id="0" w:name="_GoBack"/>
      <w:bookmarkEnd w:id="0"/>
    </w:p>
    <w:p w:rsidR="000B577C" w:rsidRPr="00131DDF" w:rsidRDefault="00FA5469" w:rsidP="008D6272">
      <w:pPr>
        <w:pBdr>
          <w:top w:val="nil"/>
          <w:left w:val="nil"/>
          <w:bottom w:val="nil"/>
          <w:right w:val="nil"/>
          <w:between w:val="nil"/>
        </w:pBdr>
        <w:jc w:val="both"/>
        <w:rPr>
          <w:rFonts w:asciiTheme="majorHAnsi" w:eastAsia="Helvetica Neue" w:hAnsiTheme="majorHAnsi" w:cs="Helvetica Neue"/>
          <w:color w:val="000000"/>
        </w:rPr>
      </w:pPr>
      <w:r w:rsidRPr="00131DDF">
        <w:rPr>
          <w:rFonts w:asciiTheme="majorHAnsi" w:eastAsia="Helvetica Neue" w:hAnsiTheme="majorHAnsi" w:cs="Helvetica Neue"/>
          <w:color w:val="000000"/>
        </w:rPr>
        <w:t>Berkshire &amp; Surrey Pathology Services</w:t>
      </w:r>
    </w:p>
    <w:p w:rsidR="000B577C" w:rsidRPr="00131DDF" w:rsidRDefault="00FA5469">
      <w:pPr>
        <w:jc w:val="both"/>
        <w:rPr>
          <w:rFonts w:asciiTheme="majorHAnsi" w:eastAsia="Helvetica Neue" w:hAnsiTheme="majorHAnsi" w:cs="Helvetica Neue"/>
        </w:rPr>
      </w:pPr>
      <w:r w:rsidRPr="00131DDF">
        <w:rPr>
          <w:rFonts w:asciiTheme="majorHAnsi" w:eastAsia="Helvetica Neue" w:hAnsiTheme="majorHAnsi" w:cs="Helvetica Neue"/>
        </w:rPr>
        <w:t>Frimley Park Hospital</w:t>
      </w:r>
    </w:p>
    <w:p w:rsidR="000B577C" w:rsidRPr="00131DDF" w:rsidRDefault="00FA5469">
      <w:pPr>
        <w:jc w:val="both"/>
        <w:rPr>
          <w:rFonts w:asciiTheme="majorHAnsi" w:eastAsia="Helvetica Neue" w:hAnsiTheme="majorHAnsi" w:cs="Helvetica Neue"/>
        </w:rPr>
      </w:pPr>
      <w:r w:rsidRPr="00131DDF">
        <w:rPr>
          <w:rFonts w:asciiTheme="majorHAnsi" w:eastAsia="Helvetica Neue" w:hAnsiTheme="majorHAnsi" w:cs="Helvetica Neue"/>
        </w:rPr>
        <w:t>Portsmouth Road</w:t>
      </w:r>
    </w:p>
    <w:p w:rsidR="000B577C" w:rsidRPr="00131DDF" w:rsidRDefault="00FA5469">
      <w:pPr>
        <w:jc w:val="both"/>
        <w:rPr>
          <w:rFonts w:asciiTheme="majorHAnsi" w:eastAsia="Helvetica Neue" w:hAnsiTheme="majorHAnsi" w:cs="Helvetica Neue"/>
        </w:rPr>
      </w:pPr>
      <w:r w:rsidRPr="00131DDF">
        <w:rPr>
          <w:rFonts w:asciiTheme="majorHAnsi" w:eastAsia="Helvetica Neue" w:hAnsiTheme="majorHAnsi" w:cs="Helvetica Neue"/>
        </w:rPr>
        <w:t>Frimley GU16 7UJ</w:t>
      </w:r>
    </w:p>
    <w:p w:rsidR="000B577C" w:rsidRPr="00131DDF" w:rsidRDefault="000B577C">
      <w:pPr>
        <w:pBdr>
          <w:top w:val="nil"/>
          <w:left w:val="nil"/>
          <w:bottom w:val="nil"/>
          <w:right w:val="nil"/>
          <w:between w:val="nil"/>
        </w:pBdr>
        <w:jc w:val="right"/>
        <w:rPr>
          <w:rFonts w:asciiTheme="majorHAnsi" w:eastAsia="Helvetica Neue" w:hAnsiTheme="majorHAnsi" w:cs="Helvetica Neue"/>
          <w:color w:val="000000"/>
        </w:rPr>
      </w:pPr>
    </w:p>
    <w:p w:rsidR="000B577C" w:rsidRPr="00131DDF" w:rsidRDefault="000B577C">
      <w:pPr>
        <w:pBdr>
          <w:top w:val="nil"/>
          <w:left w:val="nil"/>
          <w:bottom w:val="nil"/>
          <w:right w:val="nil"/>
          <w:between w:val="nil"/>
        </w:pBdr>
        <w:rPr>
          <w:rFonts w:asciiTheme="majorHAnsi" w:eastAsia="Helvetica Neue" w:hAnsiTheme="majorHAnsi" w:cs="Helvetica Neue"/>
          <w:color w:val="000000"/>
        </w:rPr>
      </w:pPr>
    </w:p>
    <w:p w:rsidR="000B577C" w:rsidRPr="00131DDF" w:rsidRDefault="0091317C">
      <w:pPr>
        <w:pBdr>
          <w:top w:val="nil"/>
          <w:left w:val="nil"/>
          <w:bottom w:val="nil"/>
          <w:right w:val="nil"/>
          <w:between w:val="nil"/>
        </w:pBdr>
        <w:rPr>
          <w:rFonts w:asciiTheme="majorHAnsi" w:eastAsia="Helvetica Neue" w:hAnsiTheme="majorHAnsi" w:cs="Helvetica Neue"/>
          <w:color w:val="000000"/>
        </w:rPr>
      </w:pPr>
      <w:r w:rsidRPr="00131DDF">
        <w:rPr>
          <w:rFonts w:asciiTheme="majorHAnsi" w:eastAsia="Helvetica Neue" w:hAnsiTheme="majorHAnsi" w:cs="Helvetica Neue"/>
          <w:color w:val="000000"/>
        </w:rPr>
        <w:t>5</w:t>
      </w:r>
      <w:r w:rsidR="008D6272" w:rsidRPr="00131DDF">
        <w:rPr>
          <w:rFonts w:asciiTheme="majorHAnsi" w:eastAsia="Helvetica Neue" w:hAnsiTheme="majorHAnsi" w:cs="Helvetica Neue"/>
          <w:color w:val="000000"/>
          <w:vertAlign w:val="superscript"/>
        </w:rPr>
        <w:t>th</w:t>
      </w:r>
      <w:r w:rsidRPr="00131DDF">
        <w:rPr>
          <w:rFonts w:asciiTheme="majorHAnsi" w:eastAsia="Helvetica Neue" w:hAnsiTheme="majorHAnsi" w:cs="Helvetica Neue"/>
          <w:color w:val="000000"/>
        </w:rPr>
        <w:t xml:space="preserve"> August</w:t>
      </w:r>
      <w:r w:rsidR="00FA5469" w:rsidRPr="00131DDF">
        <w:rPr>
          <w:rFonts w:asciiTheme="majorHAnsi" w:eastAsia="Helvetica Neue" w:hAnsiTheme="majorHAnsi" w:cs="Helvetica Neue"/>
          <w:color w:val="000000"/>
        </w:rPr>
        <w:t xml:space="preserve"> 2022</w:t>
      </w:r>
    </w:p>
    <w:p w:rsidR="000B577C" w:rsidRPr="00131DDF" w:rsidRDefault="000B577C">
      <w:pPr>
        <w:pBdr>
          <w:top w:val="nil"/>
          <w:left w:val="nil"/>
          <w:bottom w:val="nil"/>
          <w:right w:val="nil"/>
          <w:between w:val="nil"/>
        </w:pBdr>
        <w:rPr>
          <w:rFonts w:asciiTheme="majorHAnsi" w:eastAsia="Helvetica Neue" w:hAnsiTheme="majorHAnsi" w:cs="Helvetica Neue"/>
          <w:color w:val="000000"/>
        </w:rPr>
      </w:pPr>
    </w:p>
    <w:p w:rsidR="008D6272" w:rsidRPr="00131DDF" w:rsidRDefault="008D6272" w:rsidP="008D6272">
      <w:pPr>
        <w:pStyle w:val="paragraph"/>
        <w:spacing w:before="0" w:beforeAutospacing="0" w:after="0" w:afterAutospacing="0"/>
        <w:textAlignment w:val="baseline"/>
        <w:rPr>
          <w:rFonts w:asciiTheme="majorHAnsi" w:hAnsiTheme="majorHAnsi" w:cs="Segoe UI"/>
          <w:color w:val="000000"/>
        </w:rPr>
      </w:pPr>
      <w:r w:rsidRPr="00131DDF">
        <w:rPr>
          <w:rStyle w:val="normaltextrun"/>
          <w:rFonts w:asciiTheme="majorHAnsi" w:hAnsiTheme="majorHAnsi" w:cs="Segoe UI"/>
          <w:color w:val="000000"/>
        </w:rPr>
        <w:t>Dear Colleagues</w:t>
      </w:r>
      <w:r w:rsidRPr="00131DDF">
        <w:rPr>
          <w:rStyle w:val="eop"/>
          <w:rFonts w:asciiTheme="majorHAnsi" w:hAnsiTheme="majorHAnsi" w:cs="Segoe UI"/>
          <w:color w:val="000000"/>
        </w:rPr>
        <w:t> </w:t>
      </w:r>
    </w:p>
    <w:p w:rsidR="008D6272" w:rsidRPr="00131DDF" w:rsidRDefault="008D6272" w:rsidP="008D6272">
      <w:pPr>
        <w:pStyle w:val="paragraph"/>
        <w:spacing w:before="0" w:beforeAutospacing="0" w:after="0" w:afterAutospacing="0"/>
        <w:textAlignment w:val="baseline"/>
        <w:rPr>
          <w:rFonts w:asciiTheme="majorHAnsi" w:hAnsiTheme="majorHAnsi" w:cs="Segoe UI"/>
          <w:color w:val="000000"/>
        </w:rPr>
      </w:pPr>
      <w:r w:rsidRPr="00131DDF">
        <w:rPr>
          <w:rStyle w:val="eop"/>
          <w:rFonts w:asciiTheme="majorHAnsi" w:hAnsiTheme="majorHAnsi" w:cs="Segoe UI"/>
          <w:color w:val="000000"/>
        </w:rPr>
        <w:t> </w:t>
      </w:r>
    </w:p>
    <w:p w:rsidR="0055415D" w:rsidRPr="00131DDF" w:rsidRDefault="0055415D" w:rsidP="0055415D">
      <w:pPr>
        <w:rPr>
          <w:rFonts w:asciiTheme="majorHAnsi" w:hAnsiTheme="majorHAnsi"/>
          <w:b/>
        </w:rPr>
      </w:pPr>
      <w:r w:rsidRPr="00131DDF">
        <w:rPr>
          <w:rFonts w:asciiTheme="majorHAnsi" w:hAnsiTheme="majorHAnsi"/>
          <w:b/>
        </w:rPr>
        <w:t>Abbott Alinity assay biases – Tumour marker assays</w:t>
      </w:r>
    </w:p>
    <w:p w:rsidR="0055415D" w:rsidRPr="00131DDF" w:rsidRDefault="0055415D" w:rsidP="0055415D">
      <w:pPr>
        <w:rPr>
          <w:rFonts w:asciiTheme="majorHAnsi" w:hAnsiTheme="majorHAnsi"/>
        </w:rPr>
      </w:pPr>
    </w:p>
    <w:p w:rsidR="0055415D" w:rsidRPr="00131DDF" w:rsidRDefault="0055415D" w:rsidP="0055415D">
      <w:pPr>
        <w:rPr>
          <w:rFonts w:asciiTheme="majorHAnsi" w:hAnsiTheme="majorHAnsi"/>
          <w:b/>
          <w:bCs/>
          <w:u w:val="single"/>
        </w:rPr>
      </w:pPr>
      <w:r w:rsidRPr="00131DDF">
        <w:rPr>
          <w:rFonts w:asciiTheme="majorHAnsi" w:hAnsiTheme="majorHAnsi"/>
          <w:b/>
          <w:bCs/>
          <w:u w:val="single"/>
        </w:rPr>
        <w:t>Summary</w:t>
      </w:r>
    </w:p>
    <w:p w:rsidR="00131DDF" w:rsidRPr="00131DDF" w:rsidRDefault="00131DDF" w:rsidP="0055415D">
      <w:pPr>
        <w:spacing w:line="360" w:lineRule="auto"/>
        <w:rPr>
          <w:rFonts w:asciiTheme="majorHAnsi" w:hAnsiTheme="majorHAnsi"/>
          <w:b/>
        </w:rPr>
      </w:pPr>
    </w:p>
    <w:p w:rsidR="0055415D" w:rsidRPr="00131DDF" w:rsidRDefault="0055415D" w:rsidP="0055415D">
      <w:pPr>
        <w:spacing w:line="360" w:lineRule="auto"/>
        <w:rPr>
          <w:rFonts w:asciiTheme="majorHAnsi" w:hAnsiTheme="majorHAnsi"/>
        </w:rPr>
      </w:pPr>
      <w:r w:rsidRPr="00131DDF">
        <w:rPr>
          <w:rFonts w:asciiTheme="majorHAnsi" w:hAnsiTheme="majorHAnsi"/>
          <w:b/>
        </w:rPr>
        <w:t>AFP</w:t>
      </w:r>
      <w:r w:rsidRPr="00131DDF">
        <w:rPr>
          <w:rFonts w:asciiTheme="majorHAnsi" w:hAnsiTheme="majorHAnsi"/>
        </w:rPr>
        <w:t xml:space="preserve"> results will be comparable with previous, with </w:t>
      </w:r>
      <w:r w:rsidRPr="00131DDF">
        <w:rPr>
          <w:rFonts w:asciiTheme="majorHAnsi" w:hAnsiTheme="majorHAnsi"/>
          <w:b/>
        </w:rPr>
        <w:t>new age-related reference ranges for paediatrics</w:t>
      </w:r>
      <w:r w:rsidRPr="00131DDF">
        <w:rPr>
          <w:rFonts w:asciiTheme="majorHAnsi" w:hAnsiTheme="majorHAnsi"/>
        </w:rPr>
        <w:t>.</w:t>
      </w:r>
    </w:p>
    <w:p w:rsidR="0055415D" w:rsidRPr="00131DDF" w:rsidRDefault="0055415D" w:rsidP="0055415D">
      <w:pPr>
        <w:spacing w:line="360" w:lineRule="auto"/>
        <w:rPr>
          <w:rFonts w:asciiTheme="majorHAnsi" w:hAnsiTheme="majorHAnsi"/>
        </w:rPr>
      </w:pPr>
      <w:r w:rsidRPr="00131DDF">
        <w:rPr>
          <w:rFonts w:asciiTheme="majorHAnsi" w:hAnsiTheme="majorHAnsi"/>
          <w:b/>
        </w:rPr>
        <w:t xml:space="preserve">CEA </w:t>
      </w:r>
      <w:r w:rsidRPr="00131DDF">
        <w:rPr>
          <w:rFonts w:asciiTheme="majorHAnsi" w:hAnsiTheme="majorHAnsi"/>
        </w:rPr>
        <w:t xml:space="preserve">results will be on average 40% higher with a </w:t>
      </w:r>
      <w:r w:rsidRPr="00131DDF">
        <w:rPr>
          <w:rFonts w:asciiTheme="majorHAnsi" w:hAnsiTheme="majorHAnsi"/>
          <w:b/>
        </w:rPr>
        <w:t>new reference range</w:t>
      </w:r>
      <w:r w:rsidRPr="00131DDF">
        <w:rPr>
          <w:rFonts w:asciiTheme="majorHAnsi" w:hAnsiTheme="majorHAnsi"/>
        </w:rPr>
        <w:t xml:space="preserve">. </w:t>
      </w:r>
    </w:p>
    <w:p w:rsidR="0055415D" w:rsidRPr="00131DDF" w:rsidRDefault="0055415D" w:rsidP="0055415D">
      <w:pPr>
        <w:spacing w:line="360" w:lineRule="auto"/>
        <w:rPr>
          <w:rFonts w:asciiTheme="majorHAnsi" w:hAnsiTheme="majorHAnsi"/>
        </w:rPr>
      </w:pPr>
      <w:r w:rsidRPr="00131DDF">
        <w:rPr>
          <w:rFonts w:asciiTheme="majorHAnsi" w:hAnsiTheme="majorHAnsi"/>
          <w:b/>
        </w:rPr>
        <w:t xml:space="preserve">CA125 </w:t>
      </w:r>
      <w:r w:rsidRPr="00131DDF">
        <w:rPr>
          <w:rFonts w:asciiTheme="majorHAnsi" w:hAnsiTheme="majorHAnsi"/>
        </w:rPr>
        <w:t xml:space="preserve">results will be on average 35% higher. This may </w:t>
      </w:r>
      <w:proofErr w:type="gramStart"/>
      <w:r w:rsidRPr="00131DDF">
        <w:rPr>
          <w:rFonts w:asciiTheme="majorHAnsi" w:hAnsiTheme="majorHAnsi"/>
        </w:rPr>
        <w:t>impact</w:t>
      </w:r>
      <w:proofErr w:type="gramEnd"/>
      <w:r w:rsidRPr="00131DDF">
        <w:rPr>
          <w:rFonts w:asciiTheme="majorHAnsi" w:hAnsiTheme="majorHAnsi"/>
        </w:rPr>
        <w:t xml:space="preserve"> ultrasound referrals.</w:t>
      </w:r>
    </w:p>
    <w:p w:rsidR="0055415D" w:rsidRPr="00131DDF" w:rsidRDefault="0055415D" w:rsidP="0055415D">
      <w:pPr>
        <w:spacing w:line="360" w:lineRule="auto"/>
        <w:rPr>
          <w:rFonts w:asciiTheme="majorHAnsi" w:hAnsiTheme="majorHAnsi"/>
        </w:rPr>
      </w:pPr>
      <w:r w:rsidRPr="00131DDF">
        <w:rPr>
          <w:rFonts w:asciiTheme="majorHAnsi" w:hAnsiTheme="majorHAnsi"/>
          <w:b/>
        </w:rPr>
        <w:t xml:space="preserve">CA153 </w:t>
      </w:r>
      <w:r w:rsidRPr="00131DDF">
        <w:rPr>
          <w:rFonts w:asciiTheme="majorHAnsi" w:hAnsiTheme="majorHAnsi"/>
        </w:rPr>
        <w:t>results will be on average 15% higher.</w:t>
      </w:r>
    </w:p>
    <w:p w:rsidR="0055415D" w:rsidRPr="00131DDF" w:rsidRDefault="0055415D" w:rsidP="0055415D">
      <w:pPr>
        <w:spacing w:line="360" w:lineRule="auto"/>
        <w:rPr>
          <w:rFonts w:asciiTheme="majorHAnsi" w:hAnsiTheme="majorHAnsi"/>
          <w:b/>
        </w:rPr>
      </w:pPr>
      <w:r w:rsidRPr="00131DDF">
        <w:rPr>
          <w:rFonts w:asciiTheme="majorHAnsi" w:hAnsiTheme="majorHAnsi"/>
          <w:b/>
        </w:rPr>
        <w:t xml:space="preserve">CA199 </w:t>
      </w:r>
      <w:r w:rsidRPr="00131DDF">
        <w:rPr>
          <w:rFonts w:asciiTheme="majorHAnsi" w:hAnsiTheme="majorHAnsi"/>
        </w:rPr>
        <w:t xml:space="preserve">results will not be comparable with previous, and there will be a </w:t>
      </w:r>
      <w:r w:rsidRPr="00131DDF">
        <w:rPr>
          <w:rFonts w:asciiTheme="majorHAnsi" w:hAnsiTheme="majorHAnsi"/>
          <w:b/>
        </w:rPr>
        <w:t xml:space="preserve">new reference range. </w:t>
      </w:r>
    </w:p>
    <w:p w:rsidR="0055415D" w:rsidRPr="00131DDF" w:rsidRDefault="0055415D" w:rsidP="00F975CE">
      <w:pPr>
        <w:rPr>
          <w:rFonts w:asciiTheme="majorHAnsi" w:hAnsiTheme="majorHAnsi"/>
        </w:rPr>
      </w:pPr>
      <w:r w:rsidRPr="00131DDF">
        <w:rPr>
          <w:rFonts w:asciiTheme="majorHAnsi" w:hAnsiTheme="majorHAnsi"/>
          <w:b/>
        </w:rPr>
        <w:t xml:space="preserve">PSA </w:t>
      </w:r>
      <w:r w:rsidRPr="00131DDF">
        <w:rPr>
          <w:rFonts w:asciiTheme="majorHAnsi" w:hAnsiTheme="majorHAnsi"/>
        </w:rPr>
        <w:t xml:space="preserve">results will be comparable with previous, with </w:t>
      </w:r>
      <w:r w:rsidRPr="00131DDF">
        <w:rPr>
          <w:rFonts w:asciiTheme="majorHAnsi" w:hAnsiTheme="majorHAnsi"/>
          <w:b/>
        </w:rPr>
        <w:t xml:space="preserve">new age-related reference ranges </w:t>
      </w:r>
      <w:r w:rsidRPr="00131DDF">
        <w:rPr>
          <w:rFonts w:asciiTheme="majorHAnsi" w:hAnsiTheme="majorHAnsi"/>
        </w:rPr>
        <w:t>based on the NICE NG12 guidance</w:t>
      </w:r>
      <w:r w:rsidR="00131DDF" w:rsidRPr="00131DDF">
        <w:rPr>
          <w:rFonts w:asciiTheme="majorHAnsi" w:hAnsiTheme="majorHAnsi"/>
          <w:vertAlign w:val="superscript"/>
        </w:rPr>
        <w:t>1</w:t>
      </w:r>
      <w:r w:rsidRPr="00131DDF">
        <w:rPr>
          <w:rFonts w:asciiTheme="majorHAnsi" w:hAnsiTheme="majorHAnsi"/>
        </w:rPr>
        <w:t>.</w:t>
      </w:r>
    </w:p>
    <w:p w:rsidR="00F975CE" w:rsidRPr="00131DDF" w:rsidRDefault="00F975CE" w:rsidP="00F975CE">
      <w:pPr>
        <w:rPr>
          <w:rFonts w:asciiTheme="majorHAnsi" w:hAnsiTheme="majorHAnsi"/>
        </w:rPr>
      </w:pPr>
    </w:p>
    <w:p w:rsidR="0055415D" w:rsidRPr="00131DDF" w:rsidRDefault="0055415D" w:rsidP="0055415D">
      <w:pPr>
        <w:rPr>
          <w:rFonts w:asciiTheme="majorHAnsi" w:hAnsiTheme="majorHAnsi"/>
        </w:rPr>
      </w:pPr>
      <w:r w:rsidRPr="00131DDF">
        <w:rPr>
          <w:rFonts w:asciiTheme="majorHAnsi" w:hAnsiTheme="majorHAnsi"/>
        </w:rPr>
        <w:t xml:space="preserve">For all of these analytes, unpredictable biases </w:t>
      </w:r>
      <w:proofErr w:type="gramStart"/>
      <w:r w:rsidRPr="00131DDF">
        <w:rPr>
          <w:rFonts w:asciiTheme="majorHAnsi" w:hAnsiTheme="majorHAnsi"/>
        </w:rPr>
        <w:t>may be seen</w:t>
      </w:r>
      <w:proofErr w:type="gramEnd"/>
      <w:r w:rsidRPr="00131DDF">
        <w:rPr>
          <w:rFonts w:asciiTheme="majorHAnsi" w:hAnsiTheme="majorHAnsi"/>
        </w:rPr>
        <w:t xml:space="preserve"> for individual patients and re-baselining of some patients who are being monitored will be carried out by the laboratory.</w:t>
      </w:r>
    </w:p>
    <w:p w:rsidR="0055415D" w:rsidRPr="00131DDF" w:rsidRDefault="0055415D" w:rsidP="0055415D">
      <w:pPr>
        <w:rPr>
          <w:rFonts w:asciiTheme="majorHAnsi" w:hAnsiTheme="majorHAnsi"/>
        </w:rPr>
      </w:pPr>
    </w:p>
    <w:p w:rsidR="0055415D" w:rsidRPr="00131DDF" w:rsidRDefault="0055415D" w:rsidP="0055415D">
      <w:pPr>
        <w:rPr>
          <w:rFonts w:asciiTheme="majorHAnsi" w:hAnsiTheme="majorHAnsi"/>
          <w:b/>
          <w:bCs/>
          <w:u w:val="single"/>
        </w:rPr>
      </w:pPr>
      <w:r w:rsidRPr="00131DDF">
        <w:rPr>
          <w:rFonts w:asciiTheme="majorHAnsi" w:hAnsiTheme="majorHAnsi"/>
          <w:b/>
          <w:bCs/>
          <w:u w:val="single"/>
        </w:rPr>
        <w:t xml:space="preserve">Introduction </w:t>
      </w:r>
    </w:p>
    <w:p w:rsidR="0055415D" w:rsidRPr="00131DDF" w:rsidRDefault="0055415D" w:rsidP="0055415D">
      <w:pPr>
        <w:rPr>
          <w:rFonts w:asciiTheme="majorHAnsi" w:hAnsiTheme="majorHAnsi"/>
        </w:rPr>
      </w:pPr>
      <w:r w:rsidRPr="00131DDF">
        <w:rPr>
          <w:rFonts w:asciiTheme="majorHAnsi" w:hAnsiTheme="majorHAnsi"/>
        </w:rPr>
        <w:t xml:space="preserve">In February 2022, Berkshire and Surrey Pathology Services (BSPS) signed a contract with Abbott diagnostics to enable the acquisition and installation of new automation across the Pathology network. This will result in significant improvement to the laboratory’s robustness and resilience over the forthcoming years. The entire BSPS Network will be rolling out the Abbott Alinity suite of analysers over a period of 12 months across all sites. </w:t>
      </w:r>
    </w:p>
    <w:p w:rsidR="0055415D" w:rsidRPr="00131DDF" w:rsidRDefault="0055415D" w:rsidP="0055415D">
      <w:pPr>
        <w:rPr>
          <w:rFonts w:asciiTheme="majorHAnsi" w:hAnsiTheme="majorHAnsi"/>
        </w:rPr>
      </w:pPr>
    </w:p>
    <w:p w:rsidR="0055415D" w:rsidRPr="00131DDF" w:rsidRDefault="0055415D" w:rsidP="0055415D">
      <w:pPr>
        <w:rPr>
          <w:rFonts w:asciiTheme="majorHAnsi" w:hAnsiTheme="majorHAnsi"/>
        </w:rPr>
      </w:pPr>
      <w:r w:rsidRPr="00131DDF">
        <w:rPr>
          <w:rFonts w:asciiTheme="majorHAnsi" w:hAnsiTheme="majorHAnsi"/>
        </w:rPr>
        <w:t xml:space="preserve">One aspect of installing new automation is the necessity of moving to alternative reference ranges and methodologies as dictated by the manufacturer and evidence-based studies performed on the new instrumentation. There are several key assays where results will be significantly different </w:t>
      </w:r>
      <w:r w:rsidRPr="00131DDF">
        <w:rPr>
          <w:rStyle w:val="normaltextrun"/>
          <w:rFonts w:asciiTheme="majorHAnsi" w:hAnsiTheme="majorHAnsi" w:cs="Calibri"/>
          <w:color w:val="000000"/>
          <w:bdr w:val="none" w:sz="0" w:space="0" w:color="auto" w:frame="1"/>
        </w:rPr>
        <w:t>and clinical teams will need to become very familiar with the new cut-offs in place. </w:t>
      </w:r>
      <w:r w:rsidRPr="00131DDF">
        <w:rPr>
          <w:rFonts w:asciiTheme="majorHAnsi" w:hAnsiTheme="majorHAnsi"/>
        </w:rPr>
        <w:t xml:space="preserve"> </w:t>
      </w:r>
    </w:p>
    <w:p w:rsidR="0055415D" w:rsidRPr="00131DDF" w:rsidRDefault="0055415D" w:rsidP="0055415D">
      <w:pPr>
        <w:rPr>
          <w:rFonts w:asciiTheme="majorHAnsi" w:hAnsiTheme="majorHAnsi"/>
        </w:rPr>
      </w:pPr>
    </w:p>
    <w:p w:rsidR="0055415D" w:rsidRPr="00131DDF" w:rsidRDefault="0055415D" w:rsidP="0055415D">
      <w:pPr>
        <w:rPr>
          <w:rFonts w:asciiTheme="majorHAnsi" w:hAnsiTheme="majorHAnsi"/>
        </w:rPr>
      </w:pPr>
    </w:p>
    <w:p w:rsidR="0055415D" w:rsidRPr="00131DDF" w:rsidRDefault="0055415D" w:rsidP="0055415D">
      <w:pPr>
        <w:rPr>
          <w:rFonts w:asciiTheme="majorHAnsi" w:hAnsiTheme="majorHAnsi"/>
          <w:b/>
          <w:bCs/>
          <w:u w:val="single"/>
        </w:rPr>
      </w:pPr>
      <w:r w:rsidRPr="00131DDF">
        <w:rPr>
          <w:rFonts w:asciiTheme="majorHAnsi" w:hAnsiTheme="majorHAnsi"/>
          <w:b/>
          <w:bCs/>
          <w:u w:val="single"/>
        </w:rPr>
        <w:lastRenderedPageBreak/>
        <w:t xml:space="preserve">Abbott Alinity </w:t>
      </w:r>
    </w:p>
    <w:p w:rsidR="0055415D" w:rsidRPr="00131DDF" w:rsidRDefault="0055415D" w:rsidP="0055415D">
      <w:pPr>
        <w:rPr>
          <w:rFonts w:asciiTheme="majorHAnsi" w:hAnsiTheme="majorHAnsi" w:cs="Segoe UI"/>
        </w:rPr>
      </w:pPr>
      <w:r w:rsidRPr="00131DDF">
        <w:rPr>
          <w:rStyle w:val="normaltextrun"/>
          <w:rFonts w:asciiTheme="majorHAnsi" w:hAnsiTheme="majorHAnsi" w:cs="Calibri"/>
        </w:rPr>
        <w:t xml:space="preserve">The majority of the diagnostic accuracy and clinical data for this assay </w:t>
      </w:r>
      <w:proofErr w:type="gramStart"/>
      <w:r w:rsidRPr="00131DDF">
        <w:rPr>
          <w:rStyle w:val="normaltextrun"/>
          <w:rFonts w:asciiTheme="majorHAnsi" w:hAnsiTheme="majorHAnsi" w:cs="Calibri"/>
        </w:rPr>
        <w:t>has been generated</w:t>
      </w:r>
      <w:proofErr w:type="gramEnd"/>
      <w:r w:rsidRPr="00131DDF">
        <w:rPr>
          <w:rStyle w:val="normaltextrun"/>
          <w:rFonts w:asciiTheme="majorHAnsi" w:hAnsiTheme="majorHAnsi" w:cs="Calibri"/>
        </w:rPr>
        <w:t xml:space="preserve"> using Abbott’s Architect platform. Abbott’s subsequent analytical platform the Alinity series of analysers use identical reagent and calibrants to the Architect and studies have found that results on</w:t>
      </w:r>
      <w:r w:rsidR="00BB2773" w:rsidRPr="00131DDF">
        <w:rPr>
          <w:rStyle w:val="normaltextrun"/>
          <w:rFonts w:asciiTheme="majorHAnsi" w:hAnsiTheme="majorHAnsi" w:cs="Calibri"/>
        </w:rPr>
        <w:t xml:space="preserve"> both platforms are equivalent</w:t>
      </w:r>
      <w:r w:rsidR="00BB2773" w:rsidRPr="00131DDF">
        <w:rPr>
          <w:rStyle w:val="normaltextrun"/>
          <w:rFonts w:asciiTheme="majorHAnsi" w:hAnsiTheme="majorHAnsi" w:cs="Calibri"/>
          <w:vertAlign w:val="superscript"/>
        </w:rPr>
        <w:t>2</w:t>
      </w:r>
      <w:r w:rsidR="00BB2773" w:rsidRPr="00131DDF">
        <w:rPr>
          <w:rStyle w:val="normaltextrun"/>
          <w:rFonts w:asciiTheme="majorHAnsi" w:hAnsiTheme="majorHAnsi" w:cs="Calibri"/>
        </w:rPr>
        <w:t>.</w:t>
      </w:r>
    </w:p>
    <w:p w:rsidR="0055415D" w:rsidRPr="00131DDF" w:rsidRDefault="0055415D" w:rsidP="0055415D">
      <w:pPr>
        <w:rPr>
          <w:rFonts w:asciiTheme="majorHAnsi" w:hAnsiTheme="majorHAnsi"/>
          <w:b/>
          <w:bCs/>
          <w:u w:val="single"/>
        </w:rPr>
      </w:pPr>
    </w:p>
    <w:p w:rsidR="0055415D" w:rsidRPr="00131DDF" w:rsidRDefault="0055415D" w:rsidP="0055415D">
      <w:pPr>
        <w:rPr>
          <w:rFonts w:asciiTheme="majorHAnsi" w:hAnsiTheme="majorHAnsi"/>
          <w:b/>
          <w:bCs/>
          <w:u w:val="single"/>
        </w:rPr>
      </w:pPr>
      <w:r w:rsidRPr="00131DDF">
        <w:rPr>
          <w:rFonts w:asciiTheme="majorHAnsi" w:hAnsiTheme="majorHAnsi"/>
          <w:b/>
          <w:bCs/>
          <w:u w:val="single"/>
        </w:rPr>
        <w:t>Expected changes in results</w:t>
      </w:r>
    </w:p>
    <w:p w:rsidR="0055415D" w:rsidRPr="00131DDF" w:rsidRDefault="0055415D" w:rsidP="0055415D">
      <w:pPr>
        <w:rPr>
          <w:rFonts w:asciiTheme="majorHAnsi" w:hAnsiTheme="majorHAnsi"/>
          <w:b/>
          <w:bCs/>
        </w:rPr>
      </w:pPr>
    </w:p>
    <w:p w:rsidR="0055415D" w:rsidRPr="00131DDF" w:rsidRDefault="0055415D" w:rsidP="0055415D">
      <w:pPr>
        <w:rPr>
          <w:rFonts w:asciiTheme="majorHAnsi" w:hAnsiTheme="majorHAnsi"/>
          <w:bCs/>
        </w:rPr>
      </w:pPr>
      <w:r w:rsidRPr="00131DDF">
        <w:rPr>
          <w:rFonts w:asciiTheme="majorHAnsi" w:hAnsiTheme="majorHAnsi"/>
          <w:b/>
          <w:bCs/>
        </w:rPr>
        <w:t xml:space="preserve">AFP </w:t>
      </w:r>
      <w:r w:rsidRPr="00131DDF">
        <w:rPr>
          <w:rFonts w:asciiTheme="majorHAnsi" w:hAnsiTheme="majorHAnsi"/>
          <w:bCs/>
        </w:rPr>
        <w:t>results show good correlation with the old method</w:t>
      </w:r>
      <w:r w:rsidRPr="00131DDF">
        <w:rPr>
          <w:rFonts w:asciiTheme="majorHAnsi" w:hAnsiTheme="majorHAnsi"/>
        </w:rPr>
        <w:t>, with in-house studies suggesting an average bias of &lt;10% for the vast majority of patients.</w:t>
      </w:r>
    </w:p>
    <w:p w:rsidR="0055415D" w:rsidRPr="00131DDF" w:rsidRDefault="0055415D" w:rsidP="0055415D">
      <w:pPr>
        <w:rPr>
          <w:rFonts w:asciiTheme="majorHAnsi" w:hAnsiTheme="majorHAnsi"/>
          <w:bCs/>
        </w:rPr>
      </w:pPr>
    </w:p>
    <w:p w:rsidR="0055415D" w:rsidRPr="00131DDF" w:rsidRDefault="0055415D" w:rsidP="0055415D">
      <w:pPr>
        <w:rPr>
          <w:rFonts w:asciiTheme="majorHAnsi" w:hAnsiTheme="majorHAnsi"/>
          <w:bCs/>
        </w:rPr>
      </w:pPr>
      <w:r w:rsidRPr="00131DDF">
        <w:rPr>
          <w:rFonts w:asciiTheme="majorHAnsi" w:hAnsiTheme="majorHAnsi"/>
          <w:b/>
          <w:bCs/>
        </w:rPr>
        <w:t>CEA</w:t>
      </w:r>
      <w:r w:rsidRPr="00131DDF">
        <w:rPr>
          <w:rFonts w:asciiTheme="majorHAnsi" w:hAnsiTheme="majorHAnsi"/>
          <w:bCs/>
        </w:rPr>
        <w:t xml:space="preserve"> results will be on average </w:t>
      </w:r>
      <w:r w:rsidRPr="00131DDF">
        <w:rPr>
          <w:rFonts w:asciiTheme="majorHAnsi" w:hAnsiTheme="majorHAnsi"/>
          <w:b/>
          <w:bCs/>
        </w:rPr>
        <w:t>40% higher</w:t>
      </w:r>
    </w:p>
    <w:p w:rsidR="0055415D" w:rsidRPr="00131DDF" w:rsidRDefault="0055415D" w:rsidP="0055415D">
      <w:pPr>
        <w:rPr>
          <w:rFonts w:asciiTheme="majorHAnsi" w:hAnsiTheme="majorHAnsi"/>
          <w:bCs/>
        </w:rPr>
      </w:pPr>
      <w:r w:rsidRPr="00131DDF">
        <w:rPr>
          <w:rFonts w:asciiTheme="majorHAnsi" w:hAnsiTheme="majorHAnsi"/>
          <w:noProof/>
        </w:rPr>
        <w:drawing>
          <wp:inline distT="0" distB="0" distL="0" distR="0" wp14:anchorId="307901B7" wp14:editId="2D438DD1">
            <wp:extent cx="2743200" cy="2305050"/>
            <wp:effectExtent l="0" t="0" r="0" b="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55415D" w:rsidRPr="00131DDF" w:rsidRDefault="0055415D" w:rsidP="0055415D">
      <w:pPr>
        <w:rPr>
          <w:rFonts w:asciiTheme="majorHAnsi" w:hAnsiTheme="majorHAnsi"/>
          <w:bCs/>
        </w:rPr>
      </w:pPr>
    </w:p>
    <w:p w:rsidR="0055415D" w:rsidRPr="00131DDF" w:rsidRDefault="0055415D" w:rsidP="0055415D">
      <w:pPr>
        <w:rPr>
          <w:rFonts w:asciiTheme="majorHAnsi" w:hAnsiTheme="majorHAnsi"/>
          <w:bCs/>
        </w:rPr>
      </w:pPr>
      <w:r w:rsidRPr="00131DDF">
        <w:rPr>
          <w:rFonts w:asciiTheme="majorHAnsi" w:hAnsiTheme="majorHAnsi"/>
          <w:b/>
          <w:bCs/>
        </w:rPr>
        <w:t xml:space="preserve">CA125 </w:t>
      </w:r>
      <w:r w:rsidRPr="00131DDF">
        <w:rPr>
          <w:rFonts w:asciiTheme="majorHAnsi" w:hAnsiTheme="majorHAnsi"/>
          <w:bCs/>
        </w:rPr>
        <w:t xml:space="preserve">results will be on average </w:t>
      </w:r>
      <w:r w:rsidRPr="00131DDF">
        <w:rPr>
          <w:rFonts w:asciiTheme="majorHAnsi" w:hAnsiTheme="majorHAnsi"/>
          <w:b/>
          <w:bCs/>
        </w:rPr>
        <w:t>35% higher</w:t>
      </w:r>
      <w:r w:rsidRPr="00131DDF">
        <w:rPr>
          <w:rFonts w:asciiTheme="majorHAnsi" w:hAnsiTheme="majorHAnsi"/>
          <w:bCs/>
        </w:rPr>
        <w:t xml:space="preserve">, but at very high </w:t>
      </w:r>
      <w:proofErr w:type="gramStart"/>
      <w:r w:rsidRPr="00131DDF">
        <w:rPr>
          <w:rFonts w:asciiTheme="majorHAnsi" w:hAnsiTheme="majorHAnsi"/>
          <w:bCs/>
        </w:rPr>
        <w:t>levels</w:t>
      </w:r>
      <w:proofErr w:type="gramEnd"/>
      <w:r w:rsidRPr="00131DDF">
        <w:rPr>
          <w:rFonts w:asciiTheme="majorHAnsi" w:hAnsiTheme="majorHAnsi"/>
          <w:bCs/>
        </w:rPr>
        <w:t xml:space="preserve"> results are higher</w:t>
      </w:r>
    </w:p>
    <w:p w:rsidR="0055415D" w:rsidRPr="00131DDF" w:rsidRDefault="0055415D" w:rsidP="0055415D">
      <w:pPr>
        <w:rPr>
          <w:rFonts w:asciiTheme="majorHAnsi" w:hAnsiTheme="majorHAnsi"/>
          <w:bCs/>
        </w:rPr>
      </w:pPr>
      <w:r w:rsidRPr="00131DDF">
        <w:rPr>
          <w:rFonts w:asciiTheme="majorHAnsi" w:hAnsiTheme="majorHAnsi"/>
          <w:noProof/>
        </w:rPr>
        <w:drawing>
          <wp:inline distT="0" distB="0" distL="0" distR="0" wp14:anchorId="13A45795" wp14:editId="22C09BA3">
            <wp:extent cx="2800350" cy="2133600"/>
            <wp:effectExtent l="0" t="0" r="0" b="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r w:rsidRPr="00131DDF">
        <w:rPr>
          <w:rFonts w:asciiTheme="majorHAnsi" w:hAnsiTheme="majorHAnsi"/>
          <w:noProof/>
        </w:rPr>
        <w:t xml:space="preserve"> </w:t>
      </w:r>
      <w:r w:rsidRPr="00131DDF">
        <w:rPr>
          <w:rFonts w:asciiTheme="majorHAnsi" w:hAnsiTheme="majorHAnsi"/>
          <w:noProof/>
        </w:rPr>
        <w:drawing>
          <wp:inline distT="0" distB="0" distL="0" distR="0" wp14:anchorId="521F9202" wp14:editId="20312FBE">
            <wp:extent cx="2600325" cy="2152650"/>
            <wp:effectExtent l="0" t="0" r="9525" b="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55415D" w:rsidRPr="00131DDF" w:rsidRDefault="0055415D" w:rsidP="0055415D">
      <w:pPr>
        <w:rPr>
          <w:rFonts w:asciiTheme="majorHAnsi" w:hAnsiTheme="majorHAnsi"/>
          <w:b/>
          <w:bCs/>
        </w:rPr>
      </w:pPr>
    </w:p>
    <w:p w:rsidR="00BE4E8E" w:rsidRPr="00131DDF" w:rsidRDefault="00BE4E8E">
      <w:pPr>
        <w:rPr>
          <w:rFonts w:asciiTheme="majorHAnsi" w:hAnsiTheme="majorHAnsi"/>
          <w:b/>
          <w:bCs/>
        </w:rPr>
      </w:pPr>
      <w:r w:rsidRPr="00131DDF">
        <w:rPr>
          <w:rFonts w:asciiTheme="majorHAnsi" w:hAnsiTheme="majorHAnsi"/>
          <w:b/>
          <w:bCs/>
        </w:rPr>
        <w:br w:type="page"/>
      </w:r>
    </w:p>
    <w:p w:rsidR="0055415D" w:rsidRPr="00131DDF" w:rsidRDefault="0055415D" w:rsidP="0055415D">
      <w:pPr>
        <w:rPr>
          <w:rFonts w:asciiTheme="majorHAnsi" w:hAnsiTheme="majorHAnsi"/>
          <w:b/>
          <w:bCs/>
        </w:rPr>
      </w:pPr>
      <w:r w:rsidRPr="00131DDF">
        <w:rPr>
          <w:rFonts w:asciiTheme="majorHAnsi" w:hAnsiTheme="majorHAnsi"/>
          <w:b/>
          <w:bCs/>
        </w:rPr>
        <w:lastRenderedPageBreak/>
        <w:t xml:space="preserve">CA153 </w:t>
      </w:r>
      <w:r w:rsidRPr="00131DDF">
        <w:rPr>
          <w:rFonts w:asciiTheme="majorHAnsi" w:hAnsiTheme="majorHAnsi"/>
          <w:bCs/>
        </w:rPr>
        <w:t xml:space="preserve">results will be on average </w:t>
      </w:r>
      <w:r w:rsidRPr="00131DDF">
        <w:rPr>
          <w:rFonts w:asciiTheme="majorHAnsi" w:hAnsiTheme="majorHAnsi"/>
          <w:b/>
          <w:bCs/>
        </w:rPr>
        <w:t>15% higher</w:t>
      </w:r>
    </w:p>
    <w:p w:rsidR="0055415D" w:rsidRPr="00131DDF" w:rsidRDefault="0055415D" w:rsidP="0055415D">
      <w:pPr>
        <w:rPr>
          <w:rFonts w:asciiTheme="majorHAnsi" w:hAnsiTheme="majorHAnsi"/>
          <w:bCs/>
        </w:rPr>
      </w:pPr>
      <w:r w:rsidRPr="00131DDF">
        <w:rPr>
          <w:rFonts w:asciiTheme="majorHAnsi" w:hAnsiTheme="majorHAnsi"/>
          <w:noProof/>
        </w:rPr>
        <w:drawing>
          <wp:inline distT="0" distB="0" distL="0" distR="0" wp14:anchorId="1A015DC6" wp14:editId="41772EED">
            <wp:extent cx="2725947" cy="1984075"/>
            <wp:effectExtent l="0" t="0" r="17780" b="1651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55415D" w:rsidRPr="00131DDF" w:rsidRDefault="0055415D" w:rsidP="0055415D">
      <w:pPr>
        <w:rPr>
          <w:rFonts w:asciiTheme="majorHAnsi" w:hAnsiTheme="majorHAnsi"/>
          <w:b/>
          <w:bCs/>
        </w:rPr>
      </w:pPr>
    </w:p>
    <w:p w:rsidR="0055415D" w:rsidRPr="00131DDF" w:rsidRDefault="0055415D" w:rsidP="0055415D">
      <w:pPr>
        <w:rPr>
          <w:rFonts w:asciiTheme="majorHAnsi" w:hAnsiTheme="majorHAnsi"/>
          <w:bCs/>
        </w:rPr>
      </w:pPr>
      <w:r w:rsidRPr="00131DDF">
        <w:rPr>
          <w:rFonts w:asciiTheme="majorHAnsi" w:hAnsiTheme="majorHAnsi"/>
          <w:b/>
          <w:bCs/>
        </w:rPr>
        <w:t xml:space="preserve">CA199 </w:t>
      </w:r>
      <w:r w:rsidRPr="00131DDF">
        <w:rPr>
          <w:rFonts w:asciiTheme="majorHAnsi" w:hAnsiTheme="majorHAnsi"/>
          <w:bCs/>
        </w:rPr>
        <w:t xml:space="preserve">results will not be comparable with the previous method, with variable biases between individuals. </w:t>
      </w:r>
    </w:p>
    <w:p w:rsidR="0055415D" w:rsidRPr="00131DDF" w:rsidRDefault="0055415D" w:rsidP="0055415D">
      <w:pPr>
        <w:rPr>
          <w:rFonts w:asciiTheme="majorHAnsi" w:hAnsiTheme="majorHAnsi"/>
          <w:bCs/>
        </w:rPr>
      </w:pPr>
      <w:r w:rsidRPr="00131DDF">
        <w:rPr>
          <w:rFonts w:asciiTheme="majorHAnsi" w:hAnsiTheme="majorHAnsi"/>
          <w:noProof/>
        </w:rPr>
        <w:drawing>
          <wp:inline distT="0" distB="0" distL="0" distR="0" wp14:anchorId="14500434" wp14:editId="5CBE0B04">
            <wp:extent cx="2777706" cy="2398143"/>
            <wp:effectExtent l="0" t="0" r="3810" b="254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55415D" w:rsidRPr="00131DDF" w:rsidRDefault="0055415D" w:rsidP="0055415D">
      <w:pPr>
        <w:rPr>
          <w:rFonts w:asciiTheme="majorHAnsi" w:hAnsiTheme="majorHAnsi"/>
          <w:b/>
        </w:rPr>
      </w:pPr>
    </w:p>
    <w:p w:rsidR="0055415D" w:rsidRPr="00131DDF" w:rsidRDefault="0055415D" w:rsidP="0055415D">
      <w:pPr>
        <w:rPr>
          <w:rFonts w:asciiTheme="majorHAnsi" w:hAnsiTheme="majorHAnsi"/>
        </w:rPr>
      </w:pPr>
      <w:r w:rsidRPr="00131DDF">
        <w:rPr>
          <w:rFonts w:asciiTheme="majorHAnsi" w:hAnsiTheme="majorHAnsi"/>
          <w:b/>
        </w:rPr>
        <w:t xml:space="preserve">PSA </w:t>
      </w:r>
      <w:r w:rsidRPr="00131DDF">
        <w:rPr>
          <w:rFonts w:asciiTheme="majorHAnsi" w:hAnsiTheme="majorHAnsi"/>
        </w:rPr>
        <w:t>results show good correlation with the old method, with in-house studies suggesting an average bias of &lt;10% for the vast majority of patients.</w:t>
      </w:r>
    </w:p>
    <w:p w:rsidR="0055415D" w:rsidRPr="00131DDF" w:rsidRDefault="0055415D" w:rsidP="0055415D">
      <w:pPr>
        <w:rPr>
          <w:rFonts w:asciiTheme="majorHAnsi" w:hAnsiTheme="majorHAnsi"/>
          <w:bCs/>
        </w:rPr>
      </w:pPr>
    </w:p>
    <w:p w:rsidR="0055415D" w:rsidRPr="00131DDF" w:rsidRDefault="0055415D" w:rsidP="0055415D">
      <w:pPr>
        <w:rPr>
          <w:rFonts w:asciiTheme="majorHAnsi" w:hAnsiTheme="majorHAnsi"/>
          <w:b/>
          <w:bCs/>
          <w:u w:val="single"/>
        </w:rPr>
      </w:pPr>
      <w:r w:rsidRPr="00131DDF">
        <w:rPr>
          <w:rFonts w:asciiTheme="majorHAnsi" w:hAnsiTheme="majorHAnsi"/>
          <w:b/>
          <w:bCs/>
          <w:u w:val="single"/>
        </w:rPr>
        <w:t>Impact on monitoring of patients</w:t>
      </w:r>
    </w:p>
    <w:p w:rsidR="0055415D" w:rsidRPr="00131DDF" w:rsidRDefault="0055415D" w:rsidP="0055415D">
      <w:pPr>
        <w:rPr>
          <w:rFonts w:asciiTheme="majorHAnsi" w:hAnsiTheme="majorHAnsi"/>
          <w:bCs/>
        </w:rPr>
      </w:pPr>
      <w:r w:rsidRPr="00131DDF">
        <w:rPr>
          <w:rFonts w:asciiTheme="majorHAnsi" w:hAnsiTheme="majorHAnsi"/>
          <w:bCs/>
        </w:rPr>
        <w:t xml:space="preserve">After the new methods are introduced, the laboratory will identify patients who are being monitored where there has been a change between the previous and current </w:t>
      </w:r>
      <w:proofErr w:type="gramStart"/>
      <w:r w:rsidRPr="00131DDF">
        <w:rPr>
          <w:rFonts w:asciiTheme="majorHAnsi" w:hAnsiTheme="majorHAnsi"/>
          <w:bCs/>
        </w:rPr>
        <w:t>result which</w:t>
      </w:r>
      <w:proofErr w:type="gramEnd"/>
      <w:r w:rsidRPr="00131DDF">
        <w:rPr>
          <w:rFonts w:asciiTheme="majorHAnsi" w:hAnsiTheme="majorHAnsi"/>
          <w:bCs/>
        </w:rPr>
        <w:t xml:space="preserve"> is not in line with that expected as detailed above. These samples will be analysed on both the old and new method, and both results </w:t>
      </w:r>
      <w:proofErr w:type="gramStart"/>
      <w:r w:rsidRPr="00131DDF">
        <w:rPr>
          <w:rFonts w:asciiTheme="majorHAnsi" w:hAnsiTheme="majorHAnsi"/>
          <w:bCs/>
        </w:rPr>
        <w:t>will be reported</w:t>
      </w:r>
      <w:proofErr w:type="gramEnd"/>
      <w:r w:rsidRPr="00131DDF">
        <w:rPr>
          <w:rFonts w:asciiTheme="majorHAnsi" w:hAnsiTheme="majorHAnsi"/>
          <w:bCs/>
        </w:rPr>
        <w:t xml:space="preserve"> to allow re-baselining of these patients. We will continue this for several months after the new methods </w:t>
      </w:r>
      <w:proofErr w:type="gramStart"/>
      <w:r w:rsidRPr="00131DDF">
        <w:rPr>
          <w:rFonts w:asciiTheme="majorHAnsi" w:hAnsiTheme="majorHAnsi"/>
          <w:bCs/>
        </w:rPr>
        <w:t>are introduced</w:t>
      </w:r>
      <w:proofErr w:type="gramEnd"/>
      <w:r w:rsidRPr="00131DDF">
        <w:rPr>
          <w:rFonts w:asciiTheme="majorHAnsi" w:hAnsiTheme="majorHAnsi"/>
          <w:bCs/>
        </w:rPr>
        <w:t xml:space="preserve">. For CA199, all patients </w:t>
      </w:r>
      <w:proofErr w:type="gramStart"/>
      <w:r w:rsidRPr="00131DDF">
        <w:rPr>
          <w:rFonts w:asciiTheme="majorHAnsi" w:hAnsiTheme="majorHAnsi"/>
          <w:bCs/>
        </w:rPr>
        <w:t>being monitored</w:t>
      </w:r>
      <w:proofErr w:type="gramEnd"/>
      <w:r w:rsidRPr="00131DDF">
        <w:rPr>
          <w:rFonts w:asciiTheme="majorHAnsi" w:hAnsiTheme="majorHAnsi"/>
          <w:bCs/>
        </w:rPr>
        <w:t xml:space="preserve"> will be re-baselined.</w:t>
      </w:r>
    </w:p>
    <w:p w:rsidR="0055415D" w:rsidRPr="00131DDF" w:rsidRDefault="0055415D" w:rsidP="0055415D">
      <w:pPr>
        <w:rPr>
          <w:rFonts w:asciiTheme="majorHAnsi" w:hAnsiTheme="majorHAnsi"/>
        </w:rPr>
      </w:pPr>
    </w:p>
    <w:p w:rsidR="0055415D" w:rsidRPr="00131DDF" w:rsidRDefault="0055415D" w:rsidP="0055415D">
      <w:pPr>
        <w:rPr>
          <w:rFonts w:asciiTheme="majorHAnsi" w:hAnsiTheme="majorHAnsi"/>
        </w:rPr>
      </w:pPr>
      <w:r w:rsidRPr="00131DDF">
        <w:rPr>
          <w:rFonts w:asciiTheme="majorHAnsi" w:hAnsiTheme="majorHAnsi"/>
        </w:rPr>
        <w:t>Please contact the Duty Biochemist (</w:t>
      </w:r>
      <w:hyperlink r:id="rId12" w:history="1">
        <w:r w:rsidRPr="00131DDF">
          <w:rPr>
            <w:rStyle w:val="Hyperlink"/>
            <w:rFonts w:asciiTheme="majorHAnsi" w:hAnsiTheme="majorHAnsi"/>
          </w:rPr>
          <w:t>fhft.bspsdutybiochemistteam@nhs.net</w:t>
        </w:r>
      </w:hyperlink>
      <w:r w:rsidRPr="00131DDF">
        <w:rPr>
          <w:rFonts w:asciiTheme="majorHAnsi" w:hAnsiTheme="majorHAnsi"/>
        </w:rPr>
        <w:t>) if there are any concerns around unexpected changes in tumour marker levels during the period after introduction of the new method.</w:t>
      </w:r>
    </w:p>
    <w:p w:rsidR="0055415D" w:rsidRPr="00131DDF" w:rsidRDefault="0055415D" w:rsidP="0055415D">
      <w:pPr>
        <w:rPr>
          <w:rFonts w:asciiTheme="majorHAnsi" w:hAnsiTheme="majorHAnsi"/>
        </w:rPr>
      </w:pPr>
    </w:p>
    <w:p w:rsidR="0055415D" w:rsidRPr="00131DDF" w:rsidRDefault="0055415D" w:rsidP="0055415D">
      <w:pPr>
        <w:rPr>
          <w:rFonts w:asciiTheme="majorHAnsi" w:hAnsiTheme="majorHAnsi"/>
          <w:b/>
          <w:bCs/>
          <w:u w:val="single"/>
        </w:rPr>
      </w:pPr>
      <w:r w:rsidRPr="00131DDF">
        <w:rPr>
          <w:rFonts w:asciiTheme="majorHAnsi" w:hAnsiTheme="majorHAnsi"/>
          <w:b/>
          <w:bCs/>
          <w:u w:val="single"/>
        </w:rPr>
        <w:t>Impact on suspected ovarian cancer referrals</w:t>
      </w:r>
    </w:p>
    <w:p w:rsidR="0055415D" w:rsidRPr="00131DDF" w:rsidRDefault="0055415D" w:rsidP="0055415D">
      <w:pPr>
        <w:rPr>
          <w:rFonts w:asciiTheme="majorHAnsi" w:hAnsiTheme="majorHAnsi"/>
          <w:bCs/>
        </w:rPr>
      </w:pPr>
      <w:r w:rsidRPr="00131DDF">
        <w:rPr>
          <w:rFonts w:asciiTheme="majorHAnsi" w:hAnsiTheme="majorHAnsi"/>
          <w:bCs/>
        </w:rPr>
        <w:t xml:space="preserve">CA125 results </w:t>
      </w:r>
      <w:proofErr w:type="gramStart"/>
      <w:r w:rsidRPr="00131DDF">
        <w:rPr>
          <w:rFonts w:asciiTheme="majorHAnsi" w:hAnsiTheme="majorHAnsi"/>
          <w:bCs/>
        </w:rPr>
        <w:t>are expected</w:t>
      </w:r>
      <w:proofErr w:type="gramEnd"/>
      <w:r w:rsidRPr="00131DDF">
        <w:rPr>
          <w:rFonts w:asciiTheme="majorHAnsi" w:hAnsiTheme="majorHAnsi"/>
          <w:bCs/>
        </w:rPr>
        <w:t xml:space="preserve"> to increase by approximately 35%, including around the cut-off of 35 </w:t>
      </w:r>
      <w:proofErr w:type="spellStart"/>
      <w:r w:rsidRPr="00131DDF">
        <w:rPr>
          <w:rFonts w:asciiTheme="majorHAnsi" w:hAnsiTheme="majorHAnsi"/>
          <w:bCs/>
        </w:rPr>
        <w:t>kU</w:t>
      </w:r>
      <w:proofErr w:type="spellEnd"/>
      <w:r w:rsidRPr="00131DDF">
        <w:rPr>
          <w:rFonts w:asciiTheme="majorHAnsi" w:hAnsiTheme="majorHAnsi"/>
          <w:bCs/>
        </w:rPr>
        <w:t xml:space="preserve">/L given in NICE NG12. This may result in an increase in ultrasound referrals. </w:t>
      </w:r>
    </w:p>
    <w:p w:rsidR="0055415D" w:rsidRPr="00131DDF" w:rsidRDefault="0055415D" w:rsidP="0055415D">
      <w:pPr>
        <w:rPr>
          <w:rFonts w:asciiTheme="majorHAnsi" w:hAnsiTheme="majorHAnsi"/>
          <w:b/>
          <w:u w:val="single"/>
        </w:rPr>
      </w:pPr>
      <w:r w:rsidRPr="00131DDF">
        <w:rPr>
          <w:rFonts w:asciiTheme="majorHAnsi" w:hAnsiTheme="majorHAnsi"/>
          <w:b/>
          <w:u w:val="single"/>
        </w:rPr>
        <w:lastRenderedPageBreak/>
        <w:t>Changes to reference ranges</w:t>
      </w:r>
    </w:p>
    <w:p w:rsidR="0055415D" w:rsidRPr="00131DDF" w:rsidRDefault="0055415D" w:rsidP="0055415D">
      <w:pPr>
        <w:rPr>
          <w:rFonts w:asciiTheme="majorHAnsi" w:hAnsiTheme="majorHAnsi"/>
        </w:rPr>
      </w:pPr>
      <w:r w:rsidRPr="00131DDF">
        <w:rPr>
          <w:rFonts w:asciiTheme="majorHAnsi" w:hAnsiTheme="majorHAnsi"/>
        </w:rPr>
        <w:t xml:space="preserve">The following new reference ranges will be introduced for AFP, CEA, </w:t>
      </w:r>
      <w:proofErr w:type="gramStart"/>
      <w:r w:rsidRPr="00131DDF">
        <w:rPr>
          <w:rFonts w:asciiTheme="majorHAnsi" w:hAnsiTheme="majorHAnsi"/>
        </w:rPr>
        <w:t>CA199</w:t>
      </w:r>
      <w:proofErr w:type="gramEnd"/>
      <w:r w:rsidRPr="00131DDF">
        <w:rPr>
          <w:rFonts w:asciiTheme="majorHAnsi" w:hAnsiTheme="majorHAnsi"/>
        </w:rPr>
        <w:t xml:space="preserve"> and PSA.</w:t>
      </w:r>
    </w:p>
    <w:tbl>
      <w:tblPr>
        <w:tblW w:w="7290" w:type="dxa"/>
        <w:tblCellMar>
          <w:top w:w="15" w:type="dxa"/>
          <w:bottom w:w="15" w:type="dxa"/>
        </w:tblCellMar>
        <w:tblLook w:val="04A0" w:firstRow="1" w:lastRow="0" w:firstColumn="1" w:lastColumn="0" w:noHBand="0" w:noVBand="1"/>
      </w:tblPr>
      <w:tblGrid>
        <w:gridCol w:w="2972"/>
        <w:gridCol w:w="4318"/>
      </w:tblGrid>
      <w:tr w:rsidR="0055415D" w:rsidRPr="00131DDF" w:rsidTr="006D6B9C">
        <w:trPr>
          <w:trHeight w:val="288"/>
        </w:trPr>
        <w:tc>
          <w:tcPr>
            <w:tcW w:w="2972" w:type="dxa"/>
            <w:tcBorders>
              <w:top w:val="single" w:sz="8" w:space="0" w:color="auto"/>
              <w:left w:val="single" w:sz="4" w:space="0" w:color="auto"/>
              <w:bottom w:val="single" w:sz="4" w:space="0" w:color="auto"/>
              <w:right w:val="single" w:sz="4" w:space="0" w:color="auto"/>
            </w:tcBorders>
            <w:shd w:val="clear" w:color="000000" w:fill="FFFFFF"/>
            <w:noWrap/>
            <w:vAlign w:val="bottom"/>
          </w:tcPr>
          <w:p w:rsidR="0055415D" w:rsidRPr="00131DDF" w:rsidRDefault="0055415D" w:rsidP="006D6B9C">
            <w:pPr>
              <w:rPr>
                <w:rFonts w:asciiTheme="majorHAnsi" w:hAnsiTheme="majorHAnsi" w:cs="Calibri"/>
                <w:color w:val="000000"/>
              </w:rPr>
            </w:pPr>
          </w:p>
        </w:tc>
        <w:tc>
          <w:tcPr>
            <w:tcW w:w="4318" w:type="dxa"/>
            <w:tcBorders>
              <w:top w:val="single" w:sz="8" w:space="0" w:color="auto"/>
              <w:left w:val="single" w:sz="4" w:space="0" w:color="auto"/>
              <w:bottom w:val="single" w:sz="4" w:space="0" w:color="auto"/>
              <w:right w:val="single" w:sz="4" w:space="0" w:color="auto"/>
            </w:tcBorders>
            <w:shd w:val="clear" w:color="000000" w:fill="FFFFFF"/>
            <w:noWrap/>
            <w:vAlign w:val="center"/>
          </w:tcPr>
          <w:p w:rsidR="0055415D" w:rsidRPr="00131DDF" w:rsidRDefault="0055415D" w:rsidP="006D6B9C">
            <w:pPr>
              <w:rPr>
                <w:rFonts w:asciiTheme="majorHAnsi" w:hAnsiTheme="majorHAnsi" w:cs="Calibri"/>
                <w:b/>
                <w:color w:val="000000"/>
              </w:rPr>
            </w:pPr>
            <w:r w:rsidRPr="00131DDF">
              <w:rPr>
                <w:rFonts w:asciiTheme="majorHAnsi" w:hAnsiTheme="majorHAnsi" w:cs="Calibri"/>
                <w:b/>
                <w:color w:val="000000"/>
              </w:rPr>
              <w:t>AFP reference range (</w:t>
            </w:r>
            <w:proofErr w:type="spellStart"/>
            <w:r w:rsidRPr="00131DDF">
              <w:rPr>
                <w:rFonts w:asciiTheme="majorHAnsi" w:hAnsiTheme="majorHAnsi" w:cs="Calibri"/>
                <w:b/>
                <w:color w:val="000000"/>
              </w:rPr>
              <w:t>kU</w:t>
            </w:r>
            <w:proofErr w:type="spellEnd"/>
            <w:r w:rsidRPr="00131DDF">
              <w:rPr>
                <w:rFonts w:asciiTheme="majorHAnsi" w:hAnsiTheme="majorHAnsi" w:cs="Calibri"/>
                <w:b/>
                <w:color w:val="000000"/>
              </w:rPr>
              <w:t>/L)</w:t>
            </w:r>
          </w:p>
        </w:tc>
      </w:tr>
      <w:tr w:rsidR="0055415D" w:rsidRPr="00131DDF" w:rsidTr="006D6B9C">
        <w:trPr>
          <w:trHeight w:val="288"/>
        </w:trPr>
        <w:tc>
          <w:tcPr>
            <w:tcW w:w="2972" w:type="dxa"/>
            <w:tcBorders>
              <w:top w:val="single" w:sz="8" w:space="0" w:color="auto"/>
              <w:left w:val="single" w:sz="4" w:space="0" w:color="auto"/>
              <w:bottom w:val="single" w:sz="4" w:space="0" w:color="auto"/>
              <w:right w:val="single" w:sz="4" w:space="0" w:color="auto"/>
            </w:tcBorders>
            <w:shd w:val="clear" w:color="000000" w:fill="FFFFFF"/>
            <w:noWrap/>
            <w:vAlign w:val="bottom"/>
            <w:hideMark/>
          </w:tcPr>
          <w:p w:rsidR="0055415D" w:rsidRPr="00131DDF" w:rsidRDefault="0055415D" w:rsidP="006D6B9C">
            <w:pPr>
              <w:rPr>
                <w:rFonts w:asciiTheme="majorHAnsi" w:hAnsiTheme="majorHAnsi" w:cs="Calibri"/>
                <w:color w:val="000000"/>
              </w:rPr>
            </w:pPr>
            <w:r w:rsidRPr="00131DDF">
              <w:rPr>
                <w:rFonts w:asciiTheme="majorHAnsi" w:hAnsiTheme="majorHAnsi" w:cs="Calibri"/>
                <w:color w:val="000000"/>
              </w:rPr>
              <w:t>&lt;1m</w:t>
            </w:r>
          </w:p>
        </w:tc>
        <w:tc>
          <w:tcPr>
            <w:tcW w:w="4318" w:type="dxa"/>
            <w:tcBorders>
              <w:top w:val="single" w:sz="8" w:space="0" w:color="auto"/>
              <w:left w:val="single" w:sz="4" w:space="0" w:color="auto"/>
              <w:bottom w:val="single" w:sz="4" w:space="0" w:color="auto"/>
              <w:right w:val="single" w:sz="4" w:space="0" w:color="auto"/>
            </w:tcBorders>
            <w:shd w:val="clear" w:color="000000" w:fill="FFFFFF"/>
            <w:noWrap/>
            <w:vAlign w:val="center"/>
          </w:tcPr>
          <w:p w:rsidR="0055415D" w:rsidRPr="00131DDF" w:rsidRDefault="0055415D" w:rsidP="006D6B9C">
            <w:pPr>
              <w:rPr>
                <w:rFonts w:asciiTheme="majorHAnsi" w:hAnsiTheme="majorHAnsi" w:cs="Calibri"/>
                <w:color w:val="000000"/>
              </w:rPr>
            </w:pPr>
            <w:r w:rsidRPr="00131DDF">
              <w:rPr>
                <w:rFonts w:asciiTheme="majorHAnsi" w:hAnsiTheme="majorHAnsi" w:cs="Calibri"/>
                <w:color w:val="000000"/>
              </w:rPr>
              <w:t>0-1653</w:t>
            </w:r>
          </w:p>
        </w:tc>
      </w:tr>
      <w:tr w:rsidR="0055415D" w:rsidRPr="00131DDF" w:rsidTr="006D6B9C">
        <w:trPr>
          <w:trHeight w:val="288"/>
        </w:trPr>
        <w:tc>
          <w:tcPr>
            <w:tcW w:w="2972"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55415D" w:rsidRPr="00131DDF" w:rsidRDefault="0055415D" w:rsidP="006D6B9C">
            <w:pPr>
              <w:rPr>
                <w:rFonts w:asciiTheme="majorHAnsi" w:hAnsiTheme="majorHAnsi" w:cs="Calibri"/>
                <w:color w:val="000000"/>
              </w:rPr>
            </w:pPr>
            <w:r w:rsidRPr="00131DDF">
              <w:rPr>
                <w:rFonts w:asciiTheme="majorHAnsi" w:hAnsiTheme="majorHAnsi" w:cs="Calibri"/>
                <w:color w:val="000000"/>
              </w:rPr>
              <w:t>1m-&lt;6m</w:t>
            </w:r>
          </w:p>
        </w:tc>
        <w:tc>
          <w:tcPr>
            <w:tcW w:w="4318"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55415D" w:rsidRPr="00131DDF" w:rsidRDefault="0055415D" w:rsidP="006D6B9C">
            <w:pPr>
              <w:rPr>
                <w:rFonts w:asciiTheme="majorHAnsi" w:hAnsiTheme="majorHAnsi" w:cs="Calibri"/>
                <w:color w:val="000000"/>
              </w:rPr>
            </w:pPr>
            <w:r w:rsidRPr="00131DDF">
              <w:rPr>
                <w:rFonts w:asciiTheme="majorHAnsi" w:hAnsiTheme="majorHAnsi" w:cs="Calibri"/>
                <w:color w:val="000000"/>
              </w:rPr>
              <w:t>8-1123</w:t>
            </w:r>
          </w:p>
        </w:tc>
      </w:tr>
      <w:tr w:rsidR="0055415D" w:rsidRPr="00131DDF" w:rsidTr="006D6B9C">
        <w:trPr>
          <w:trHeight w:val="288"/>
        </w:trPr>
        <w:tc>
          <w:tcPr>
            <w:tcW w:w="2972"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55415D" w:rsidRPr="00131DDF" w:rsidRDefault="0055415D" w:rsidP="006D6B9C">
            <w:pPr>
              <w:rPr>
                <w:rFonts w:asciiTheme="majorHAnsi" w:hAnsiTheme="majorHAnsi" w:cs="Calibri"/>
                <w:color w:val="000000"/>
              </w:rPr>
            </w:pPr>
            <w:r w:rsidRPr="00131DDF">
              <w:rPr>
                <w:rFonts w:asciiTheme="majorHAnsi" w:hAnsiTheme="majorHAnsi" w:cs="Calibri"/>
                <w:color w:val="000000"/>
              </w:rPr>
              <w:t>6m-&lt;1y</w:t>
            </w:r>
          </w:p>
        </w:tc>
        <w:tc>
          <w:tcPr>
            <w:tcW w:w="4318"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55415D" w:rsidRPr="00131DDF" w:rsidRDefault="0055415D" w:rsidP="006D6B9C">
            <w:pPr>
              <w:rPr>
                <w:rFonts w:asciiTheme="majorHAnsi" w:hAnsiTheme="majorHAnsi" w:cs="Calibri"/>
                <w:color w:val="000000"/>
              </w:rPr>
            </w:pPr>
            <w:r w:rsidRPr="00131DDF">
              <w:rPr>
                <w:rFonts w:asciiTheme="majorHAnsi" w:hAnsiTheme="majorHAnsi" w:cs="Calibri"/>
                <w:color w:val="000000"/>
              </w:rPr>
              <w:t>0-85</w:t>
            </w:r>
          </w:p>
        </w:tc>
      </w:tr>
      <w:tr w:rsidR="0055415D" w:rsidRPr="00131DDF" w:rsidTr="006D6B9C">
        <w:trPr>
          <w:trHeight w:val="302"/>
        </w:trPr>
        <w:tc>
          <w:tcPr>
            <w:tcW w:w="2972"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55415D" w:rsidRPr="00131DDF" w:rsidRDefault="0055415D" w:rsidP="006D6B9C">
            <w:pPr>
              <w:rPr>
                <w:rFonts w:asciiTheme="majorHAnsi" w:hAnsiTheme="majorHAnsi" w:cs="Calibri"/>
                <w:color w:val="000000"/>
              </w:rPr>
            </w:pPr>
            <w:r w:rsidRPr="00131DDF">
              <w:rPr>
                <w:rFonts w:asciiTheme="majorHAnsi" w:hAnsiTheme="majorHAnsi" w:cs="Calibri"/>
                <w:color w:val="000000"/>
              </w:rPr>
              <w:t>1-&lt;19y</w:t>
            </w:r>
          </w:p>
        </w:tc>
        <w:tc>
          <w:tcPr>
            <w:tcW w:w="4318"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55415D" w:rsidRPr="00131DDF" w:rsidRDefault="0055415D" w:rsidP="006D6B9C">
            <w:pPr>
              <w:rPr>
                <w:rFonts w:asciiTheme="majorHAnsi" w:hAnsiTheme="majorHAnsi" w:cs="Calibri"/>
                <w:color w:val="000000"/>
              </w:rPr>
            </w:pPr>
            <w:r w:rsidRPr="00131DDF">
              <w:rPr>
                <w:rFonts w:asciiTheme="majorHAnsi" w:hAnsiTheme="majorHAnsi" w:cs="Calibri"/>
                <w:color w:val="000000"/>
              </w:rPr>
              <w:t>0-12</w:t>
            </w:r>
          </w:p>
        </w:tc>
      </w:tr>
      <w:tr w:rsidR="0055415D" w:rsidRPr="00131DDF" w:rsidTr="006D6B9C">
        <w:trPr>
          <w:trHeight w:val="302"/>
        </w:trPr>
        <w:tc>
          <w:tcPr>
            <w:tcW w:w="2972" w:type="dxa"/>
            <w:tcBorders>
              <w:top w:val="single" w:sz="4" w:space="0" w:color="auto"/>
              <w:left w:val="single" w:sz="4" w:space="0" w:color="auto"/>
              <w:bottom w:val="single" w:sz="8" w:space="0" w:color="auto"/>
              <w:right w:val="single" w:sz="4" w:space="0" w:color="auto"/>
            </w:tcBorders>
            <w:shd w:val="clear" w:color="000000" w:fill="FFFFFF"/>
            <w:noWrap/>
            <w:vAlign w:val="bottom"/>
          </w:tcPr>
          <w:p w:rsidR="0055415D" w:rsidRPr="00131DDF" w:rsidRDefault="0055415D" w:rsidP="006D6B9C">
            <w:pPr>
              <w:rPr>
                <w:rFonts w:asciiTheme="majorHAnsi" w:hAnsiTheme="majorHAnsi" w:cs="Calibri"/>
                <w:color w:val="000000"/>
              </w:rPr>
            </w:pPr>
            <w:r w:rsidRPr="00131DDF">
              <w:rPr>
                <w:rFonts w:asciiTheme="majorHAnsi" w:hAnsiTheme="majorHAnsi" w:cs="Calibri"/>
                <w:color w:val="000000"/>
              </w:rPr>
              <w:t>Adult (≥19y)</w:t>
            </w:r>
          </w:p>
        </w:tc>
        <w:tc>
          <w:tcPr>
            <w:tcW w:w="4318" w:type="dxa"/>
            <w:tcBorders>
              <w:top w:val="single" w:sz="4" w:space="0" w:color="auto"/>
              <w:left w:val="single" w:sz="4" w:space="0" w:color="auto"/>
              <w:bottom w:val="single" w:sz="8" w:space="0" w:color="auto"/>
              <w:right w:val="single" w:sz="4" w:space="0" w:color="auto"/>
            </w:tcBorders>
            <w:shd w:val="clear" w:color="000000" w:fill="FFFFFF"/>
            <w:noWrap/>
            <w:vAlign w:val="center"/>
          </w:tcPr>
          <w:p w:rsidR="0055415D" w:rsidRPr="00131DDF" w:rsidRDefault="0055415D" w:rsidP="006D6B9C">
            <w:pPr>
              <w:rPr>
                <w:rFonts w:asciiTheme="majorHAnsi" w:hAnsiTheme="majorHAnsi" w:cs="Calibri"/>
                <w:color w:val="000000"/>
              </w:rPr>
            </w:pPr>
            <w:r w:rsidRPr="00131DDF">
              <w:rPr>
                <w:rFonts w:asciiTheme="majorHAnsi" w:hAnsiTheme="majorHAnsi" w:cs="Calibri"/>
                <w:color w:val="000000"/>
              </w:rPr>
              <w:t>0-9</w:t>
            </w:r>
          </w:p>
        </w:tc>
      </w:tr>
    </w:tbl>
    <w:p w:rsidR="0055415D" w:rsidRPr="00131DDF" w:rsidRDefault="0055415D" w:rsidP="0055415D">
      <w:pPr>
        <w:rPr>
          <w:rFonts w:asciiTheme="majorHAnsi" w:hAnsiTheme="majorHAnsi"/>
        </w:rPr>
      </w:pPr>
    </w:p>
    <w:tbl>
      <w:tblPr>
        <w:tblW w:w="7290" w:type="dxa"/>
        <w:tblCellMar>
          <w:top w:w="15" w:type="dxa"/>
          <w:bottom w:w="15" w:type="dxa"/>
        </w:tblCellMar>
        <w:tblLook w:val="04A0" w:firstRow="1" w:lastRow="0" w:firstColumn="1" w:lastColumn="0" w:noHBand="0" w:noVBand="1"/>
      </w:tblPr>
      <w:tblGrid>
        <w:gridCol w:w="2972"/>
        <w:gridCol w:w="4318"/>
      </w:tblGrid>
      <w:tr w:rsidR="0055415D" w:rsidRPr="00131DDF" w:rsidTr="006D6B9C">
        <w:trPr>
          <w:trHeight w:val="288"/>
        </w:trPr>
        <w:tc>
          <w:tcPr>
            <w:tcW w:w="2972" w:type="dxa"/>
            <w:tcBorders>
              <w:top w:val="single" w:sz="8" w:space="0" w:color="auto"/>
              <w:left w:val="single" w:sz="4" w:space="0" w:color="auto"/>
              <w:bottom w:val="single" w:sz="4" w:space="0" w:color="auto"/>
              <w:right w:val="single" w:sz="4" w:space="0" w:color="auto"/>
            </w:tcBorders>
            <w:shd w:val="clear" w:color="000000" w:fill="FFFFFF"/>
            <w:noWrap/>
            <w:vAlign w:val="bottom"/>
          </w:tcPr>
          <w:p w:rsidR="0055415D" w:rsidRPr="00131DDF" w:rsidRDefault="0055415D" w:rsidP="006D6B9C">
            <w:pPr>
              <w:rPr>
                <w:rFonts w:asciiTheme="majorHAnsi" w:hAnsiTheme="majorHAnsi" w:cs="Calibri"/>
                <w:color w:val="000000"/>
              </w:rPr>
            </w:pPr>
          </w:p>
        </w:tc>
        <w:tc>
          <w:tcPr>
            <w:tcW w:w="4318" w:type="dxa"/>
            <w:tcBorders>
              <w:top w:val="single" w:sz="8" w:space="0" w:color="auto"/>
              <w:left w:val="single" w:sz="4" w:space="0" w:color="auto"/>
              <w:bottom w:val="single" w:sz="4" w:space="0" w:color="auto"/>
              <w:right w:val="single" w:sz="4" w:space="0" w:color="auto"/>
            </w:tcBorders>
            <w:shd w:val="clear" w:color="000000" w:fill="FFFFFF"/>
            <w:noWrap/>
            <w:vAlign w:val="center"/>
          </w:tcPr>
          <w:p w:rsidR="0055415D" w:rsidRPr="00131DDF" w:rsidRDefault="0055415D" w:rsidP="006D6B9C">
            <w:pPr>
              <w:rPr>
                <w:rFonts w:asciiTheme="majorHAnsi" w:hAnsiTheme="majorHAnsi" w:cs="Calibri"/>
                <w:b/>
                <w:color w:val="000000"/>
              </w:rPr>
            </w:pPr>
            <w:r w:rsidRPr="00131DDF">
              <w:rPr>
                <w:rFonts w:asciiTheme="majorHAnsi" w:hAnsiTheme="majorHAnsi" w:cs="Calibri"/>
                <w:b/>
                <w:color w:val="000000"/>
              </w:rPr>
              <w:t>CEA reference range (</w:t>
            </w:r>
            <w:proofErr w:type="spellStart"/>
            <w:r w:rsidRPr="00131DDF">
              <w:rPr>
                <w:rFonts w:asciiTheme="majorHAnsi" w:hAnsiTheme="majorHAnsi" w:cs="Calibri"/>
                <w:b/>
                <w:color w:val="000000"/>
              </w:rPr>
              <w:t>ug</w:t>
            </w:r>
            <w:proofErr w:type="spellEnd"/>
            <w:r w:rsidRPr="00131DDF">
              <w:rPr>
                <w:rFonts w:asciiTheme="majorHAnsi" w:hAnsiTheme="majorHAnsi" w:cs="Calibri"/>
                <w:b/>
                <w:color w:val="000000"/>
              </w:rPr>
              <w:t>/L)</w:t>
            </w:r>
          </w:p>
        </w:tc>
      </w:tr>
      <w:tr w:rsidR="0055415D" w:rsidRPr="00131DDF" w:rsidTr="006D6B9C">
        <w:trPr>
          <w:trHeight w:val="288"/>
        </w:trPr>
        <w:tc>
          <w:tcPr>
            <w:tcW w:w="2972" w:type="dxa"/>
            <w:tcBorders>
              <w:top w:val="single" w:sz="8" w:space="0" w:color="auto"/>
              <w:left w:val="single" w:sz="4" w:space="0" w:color="auto"/>
              <w:bottom w:val="single" w:sz="4" w:space="0" w:color="auto"/>
              <w:right w:val="single" w:sz="4" w:space="0" w:color="auto"/>
            </w:tcBorders>
            <w:shd w:val="clear" w:color="000000" w:fill="FFFFFF"/>
            <w:noWrap/>
            <w:vAlign w:val="bottom"/>
            <w:hideMark/>
          </w:tcPr>
          <w:p w:rsidR="0055415D" w:rsidRPr="00131DDF" w:rsidRDefault="0055415D" w:rsidP="006D6B9C">
            <w:pPr>
              <w:rPr>
                <w:rFonts w:asciiTheme="majorHAnsi" w:hAnsiTheme="majorHAnsi" w:cs="Calibri"/>
                <w:color w:val="000000"/>
              </w:rPr>
            </w:pPr>
            <w:r w:rsidRPr="00131DDF">
              <w:rPr>
                <w:rFonts w:asciiTheme="majorHAnsi" w:hAnsiTheme="majorHAnsi" w:cs="Calibri"/>
                <w:color w:val="000000"/>
              </w:rPr>
              <w:t>Non-smokers</w:t>
            </w:r>
          </w:p>
        </w:tc>
        <w:tc>
          <w:tcPr>
            <w:tcW w:w="4318" w:type="dxa"/>
            <w:tcBorders>
              <w:top w:val="single" w:sz="8" w:space="0" w:color="auto"/>
              <w:left w:val="single" w:sz="4" w:space="0" w:color="auto"/>
              <w:bottom w:val="single" w:sz="4" w:space="0" w:color="auto"/>
              <w:right w:val="single" w:sz="4" w:space="0" w:color="auto"/>
            </w:tcBorders>
            <w:shd w:val="clear" w:color="000000" w:fill="FFFFFF"/>
            <w:noWrap/>
            <w:vAlign w:val="center"/>
          </w:tcPr>
          <w:p w:rsidR="0055415D" w:rsidRPr="00131DDF" w:rsidRDefault="0055415D" w:rsidP="006D6B9C">
            <w:pPr>
              <w:rPr>
                <w:rFonts w:asciiTheme="majorHAnsi" w:hAnsiTheme="majorHAnsi" w:cs="Calibri"/>
                <w:color w:val="000000"/>
              </w:rPr>
            </w:pPr>
            <w:r w:rsidRPr="00131DDF">
              <w:rPr>
                <w:rFonts w:asciiTheme="majorHAnsi" w:hAnsiTheme="majorHAnsi" w:cs="Calibri"/>
                <w:color w:val="000000"/>
              </w:rPr>
              <w:t>0-4</w:t>
            </w:r>
          </w:p>
        </w:tc>
      </w:tr>
    </w:tbl>
    <w:p w:rsidR="0055415D" w:rsidRPr="00131DDF" w:rsidRDefault="0055415D" w:rsidP="0055415D">
      <w:pPr>
        <w:rPr>
          <w:rFonts w:asciiTheme="majorHAnsi" w:hAnsiTheme="majorHAnsi"/>
        </w:rPr>
      </w:pPr>
    </w:p>
    <w:tbl>
      <w:tblPr>
        <w:tblW w:w="7290" w:type="dxa"/>
        <w:tblCellMar>
          <w:top w:w="15" w:type="dxa"/>
          <w:bottom w:w="15" w:type="dxa"/>
        </w:tblCellMar>
        <w:tblLook w:val="04A0" w:firstRow="1" w:lastRow="0" w:firstColumn="1" w:lastColumn="0" w:noHBand="0" w:noVBand="1"/>
      </w:tblPr>
      <w:tblGrid>
        <w:gridCol w:w="2972"/>
        <w:gridCol w:w="4318"/>
      </w:tblGrid>
      <w:tr w:rsidR="0055415D" w:rsidRPr="00131DDF" w:rsidTr="006D6B9C">
        <w:trPr>
          <w:trHeight w:val="288"/>
        </w:trPr>
        <w:tc>
          <w:tcPr>
            <w:tcW w:w="2972" w:type="dxa"/>
            <w:tcBorders>
              <w:top w:val="single" w:sz="8" w:space="0" w:color="auto"/>
              <w:left w:val="single" w:sz="4" w:space="0" w:color="auto"/>
              <w:bottom w:val="single" w:sz="4" w:space="0" w:color="auto"/>
              <w:right w:val="single" w:sz="4" w:space="0" w:color="auto"/>
            </w:tcBorders>
            <w:shd w:val="clear" w:color="000000" w:fill="FFFFFF"/>
            <w:noWrap/>
            <w:vAlign w:val="bottom"/>
          </w:tcPr>
          <w:p w:rsidR="0055415D" w:rsidRPr="00131DDF" w:rsidRDefault="0055415D" w:rsidP="006D6B9C">
            <w:pPr>
              <w:rPr>
                <w:rFonts w:asciiTheme="majorHAnsi" w:hAnsiTheme="majorHAnsi" w:cs="Calibri"/>
                <w:color w:val="000000"/>
              </w:rPr>
            </w:pPr>
          </w:p>
        </w:tc>
        <w:tc>
          <w:tcPr>
            <w:tcW w:w="4318" w:type="dxa"/>
            <w:tcBorders>
              <w:top w:val="single" w:sz="8" w:space="0" w:color="auto"/>
              <w:left w:val="single" w:sz="4" w:space="0" w:color="auto"/>
              <w:bottom w:val="single" w:sz="4" w:space="0" w:color="auto"/>
              <w:right w:val="single" w:sz="4" w:space="0" w:color="auto"/>
            </w:tcBorders>
            <w:shd w:val="clear" w:color="000000" w:fill="FFFFFF"/>
            <w:noWrap/>
            <w:vAlign w:val="center"/>
          </w:tcPr>
          <w:p w:rsidR="0055415D" w:rsidRPr="00131DDF" w:rsidRDefault="0055415D" w:rsidP="006D6B9C">
            <w:pPr>
              <w:rPr>
                <w:rFonts w:asciiTheme="majorHAnsi" w:hAnsiTheme="majorHAnsi" w:cs="Calibri"/>
                <w:b/>
                <w:color w:val="000000"/>
              </w:rPr>
            </w:pPr>
            <w:r w:rsidRPr="00131DDF">
              <w:rPr>
                <w:rFonts w:asciiTheme="majorHAnsi" w:hAnsiTheme="majorHAnsi" w:cs="Calibri"/>
                <w:b/>
                <w:color w:val="000000"/>
              </w:rPr>
              <w:t>CA199 reference range (</w:t>
            </w:r>
            <w:proofErr w:type="spellStart"/>
            <w:r w:rsidRPr="00131DDF">
              <w:rPr>
                <w:rFonts w:asciiTheme="majorHAnsi" w:hAnsiTheme="majorHAnsi" w:cs="Calibri"/>
                <w:b/>
                <w:color w:val="000000"/>
              </w:rPr>
              <w:t>kU</w:t>
            </w:r>
            <w:proofErr w:type="spellEnd"/>
            <w:r w:rsidRPr="00131DDF">
              <w:rPr>
                <w:rFonts w:asciiTheme="majorHAnsi" w:hAnsiTheme="majorHAnsi" w:cs="Calibri"/>
                <w:b/>
                <w:color w:val="000000"/>
              </w:rPr>
              <w:t>/L)</w:t>
            </w:r>
          </w:p>
        </w:tc>
      </w:tr>
      <w:tr w:rsidR="0055415D" w:rsidRPr="00131DDF" w:rsidTr="006D6B9C">
        <w:trPr>
          <w:trHeight w:val="288"/>
        </w:trPr>
        <w:tc>
          <w:tcPr>
            <w:tcW w:w="2972" w:type="dxa"/>
            <w:tcBorders>
              <w:top w:val="single" w:sz="8" w:space="0" w:color="auto"/>
              <w:left w:val="single" w:sz="4" w:space="0" w:color="auto"/>
              <w:bottom w:val="single" w:sz="4" w:space="0" w:color="auto"/>
              <w:right w:val="single" w:sz="4" w:space="0" w:color="auto"/>
            </w:tcBorders>
            <w:shd w:val="clear" w:color="000000" w:fill="FFFFFF"/>
            <w:noWrap/>
            <w:vAlign w:val="bottom"/>
          </w:tcPr>
          <w:p w:rsidR="0055415D" w:rsidRPr="00131DDF" w:rsidRDefault="0055415D" w:rsidP="006D6B9C">
            <w:pPr>
              <w:rPr>
                <w:rFonts w:asciiTheme="majorHAnsi" w:hAnsiTheme="majorHAnsi" w:cs="Calibri"/>
                <w:color w:val="000000"/>
              </w:rPr>
            </w:pPr>
            <w:r w:rsidRPr="00131DDF">
              <w:rPr>
                <w:rFonts w:asciiTheme="majorHAnsi" w:hAnsiTheme="majorHAnsi" w:cs="Calibri"/>
                <w:color w:val="000000"/>
              </w:rPr>
              <w:t>All</w:t>
            </w:r>
          </w:p>
        </w:tc>
        <w:tc>
          <w:tcPr>
            <w:tcW w:w="4318" w:type="dxa"/>
            <w:tcBorders>
              <w:top w:val="single" w:sz="8" w:space="0" w:color="auto"/>
              <w:left w:val="single" w:sz="4" w:space="0" w:color="auto"/>
              <w:bottom w:val="single" w:sz="4" w:space="0" w:color="auto"/>
              <w:right w:val="single" w:sz="4" w:space="0" w:color="auto"/>
            </w:tcBorders>
            <w:shd w:val="clear" w:color="000000" w:fill="FFFFFF"/>
            <w:noWrap/>
            <w:vAlign w:val="center"/>
          </w:tcPr>
          <w:p w:rsidR="0055415D" w:rsidRPr="00131DDF" w:rsidRDefault="0055415D" w:rsidP="006D6B9C">
            <w:pPr>
              <w:rPr>
                <w:rFonts w:asciiTheme="majorHAnsi" w:hAnsiTheme="majorHAnsi" w:cs="Calibri"/>
                <w:color w:val="000000"/>
              </w:rPr>
            </w:pPr>
            <w:r w:rsidRPr="00131DDF">
              <w:rPr>
                <w:rFonts w:asciiTheme="majorHAnsi" w:hAnsiTheme="majorHAnsi" w:cs="Calibri"/>
                <w:color w:val="000000"/>
              </w:rPr>
              <w:t>0-36</w:t>
            </w:r>
          </w:p>
        </w:tc>
      </w:tr>
    </w:tbl>
    <w:p w:rsidR="0055415D" w:rsidRPr="00131DDF" w:rsidRDefault="0055415D" w:rsidP="0055415D">
      <w:pPr>
        <w:rPr>
          <w:rFonts w:asciiTheme="majorHAnsi" w:hAnsiTheme="majorHAnsi"/>
        </w:rPr>
      </w:pPr>
    </w:p>
    <w:p w:rsidR="0055415D" w:rsidRPr="00131DDF" w:rsidRDefault="0055415D" w:rsidP="0055415D">
      <w:pPr>
        <w:rPr>
          <w:rFonts w:asciiTheme="majorHAnsi" w:hAnsiTheme="majorHAnsi"/>
        </w:rPr>
      </w:pPr>
      <w:r w:rsidRPr="00131DDF">
        <w:rPr>
          <w:rFonts w:asciiTheme="majorHAnsi" w:hAnsiTheme="majorHAnsi"/>
        </w:rPr>
        <w:t>Reference ranges for PSA will change to align with those recommended in the NICE NG12 guidance</w:t>
      </w:r>
      <w:r w:rsidR="00131DDF" w:rsidRPr="00131DDF">
        <w:rPr>
          <w:rFonts w:asciiTheme="majorHAnsi" w:hAnsiTheme="majorHAnsi"/>
          <w:vertAlign w:val="superscript"/>
        </w:rPr>
        <w:t>1</w:t>
      </w:r>
      <w:r w:rsidRPr="00131DDF">
        <w:rPr>
          <w:rFonts w:asciiTheme="majorHAnsi" w:hAnsiTheme="majorHAnsi"/>
        </w:rPr>
        <w:t xml:space="preserve">. </w:t>
      </w:r>
    </w:p>
    <w:p w:rsidR="00131DDF" w:rsidRPr="00131DDF" w:rsidRDefault="00131DDF" w:rsidP="0055415D">
      <w:pPr>
        <w:rPr>
          <w:rFonts w:asciiTheme="majorHAnsi" w:hAnsiTheme="majorHAnsi"/>
        </w:rPr>
      </w:pPr>
    </w:p>
    <w:tbl>
      <w:tblPr>
        <w:tblW w:w="7366" w:type="dxa"/>
        <w:tblCellMar>
          <w:top w:w="15" w:type="dxa"/>
          <w:bottom w:w="15" w:type="dxa"/>
        </w:tblCellMar>
        <w:tblLook w:val="04A0" w:firstRow="1" w:lastRow="0" w:firstColumn="1" w:lastColumn="0" w:noHBand="0" w:noVBand="1"/>
      </w:tblPr>
      <w:tblGrid>
        <w:gridCol w:w="1726"/>
        <w:gridCol w:w="1246"/>
        <w:gridCol w:w="4394"/>
      </w:tblGrid>
      <w:tr w:rsidR="0055415D" w:rsidRPr="00131DDF" w:rsidTr="006D6B9C">
        <w:trPr>
          <w:trHeight w:val="288"/>
        </w:trPr>
        <w:tc>
          <w:tcPr>
            <w:tcW w:w="1726" w:type="dxa"/>
            <w:tcBorders>
              <w:top w:val="single" w:sz="8" w:space="0" w:color="auto"/>
              <w:left w:val="single" w:sz="4" w:space="0" w:color="auto"/>
              <w:bottom w:val="single" w:sz="4" w:space="0" w:color="auto"/>
              <w:right w:val="single" w:sz="4" w:space="0" w:color="auto"/>
            </w:tcBorders>
            <w:shd w:val="clear" w:color="000000" w:fill="FFFFFF"/>
          </w:tcPr>
          <w:p w:rsidR="0055415D" w:rsidRPr="00131DDF" w:rsidRDefault="0055415D" w:rsidP="006D6B9C">
            <w:pPr>
              <w:rPr>
                <w:rFonts w:asciiTheme="majorHAnsi" w:hAnsiTheme="majorHAnsi" w:cs="Calibri"/>
                <w:color w:val="000000"/>
              </w:rPr>
            </w:pPr>
          </w:p>
        </w:tc>
        <w:tc>
          <w:tcPr>
            <w:tcW w:w="1246" w:type="dxa"/>
            <w:tcBorders>
              <w:top w:val="single" w:sz="8" w:space="0" w:color="auto"/>
              <w:left w:val="single" w:sz="4" w:space="0" w:color="auto"/>
              <w:bottom w:val="single" w:sz="4" w:space="0" w:color="auto"/>
              <w:right w:val="single" w:sz="4" w:space="0" w:color="auto"/>
            </w:tcBorders>
            <w:shd w:val="clear" w:color="000000" w:fill="FFFFFF"/>
            <w:noWrap/>
            <w:vAlign w:val="bottom"/>
          </w:tcPr>
          <w:p w:rsidR="0055415D" w:rsidRPr="00131DDF" w:rsidRDefault="0055415D" w:rsidP="006D6B9C">
            <w:pPr>
              <w:rPr>
                <w:rFonts w:asciiTheme="majorHAnsi" w:hAnsiTheme="majorHAnsi" w:cs="Calibri"/>
                <w:color w:val="000000"/>
              </w:rPr>
            </w:pPr>
          </w:p>
        </w:tc>
        <w:tc>
          <w:tcPr>
            <w:tcW w:w="4394" w:type="dxa"/>
            <w:tcBorders>
              <w:top w:val="single" w:sz="8" w:space="0" w:color="auto"/>
              <w:left w:val="single" w:sz="4" w:space="0" w:color="auto"/>
              <w:bottom w:val="single" w:sz="4" w:space="0" w:color="auto"/>
              <w:right w:val="single" w:sz="4" w:space="0" w:color="auto"/>
            </w:tcBorders>
            <w:shd w:val="clear" w:color="000000" w:fill="FFFFFF"/>
            <w:noWrap/>
            <w:vAlign w:val="center"/>
          </w:tcPr>
          <w:p w:rsidR="0055415D" w:rsidRPr="00131DDF" w:rsidRDefault="0055415D" w:rsidP="006D6B9C">
            <w:pPr>
              <w:rPr>
                <w:rFonts w:asciiTheme="majorHAnsi" w:hAnsiTheme="majorHAnsi" w:cs="Calibri"/>
                <w:b/>
                <w:color w:val="000000"/>
              </w:rPr>
            </w:pPr>
            <w:r w:rsidRPr="00131DDF">
              <w:rPr>
                <w:rFonts w:asciiTheme="majorHAnsi" w:hAnsiTheme="majorHAnsi" w:cs="Calibri"/>
                <w:b/>
                <w:color w:val="000000"/>
              </w:rPr>
              <w:t>PSA reference range (</w:t>
            </w:r>
            <w:proofErr w:type="spellStart"/>
            <w:r w:rsidRPr="00131DDF">
              <w:rPr>
                <w:rFonts w:asciiTheme="majorHAnsi" w:hAnsiTheme="majorHAnsi" w:cs="Calibri"/>
                <w:b/>
                <w:color w:val="000000"/>
              </w:rPr>
              <w:t>ug</w:t>
            </w:r>
            <w:proofErr w:type="spellEnd"/>
            <w:r w:rsidRPr="00131DDF">
              <w:rPr>
                <w:rFonts w:asciiTheme="majorHAnsi" w:hAnsiTheme="majorHAnsi" w:cs="Calibri"/>
                <w:b/>
                <w:color w:val="000000"/>
              </w:rPr>
              <w:t>/L)</w:t>
            </w:r>
          </w:p>
        </w:tc>
      </w:tr>
      <w:tr w:rsidR="0055415D" w:rsidRPr="00131DDF" w:rsidTr="006D6B9C">
        <w:trPr>
          <w:trHeight w:val="288"/>
        </w:trPr>
        <w:tc>
          <w:tcPr>
            <w:tcW w:w="1726" w:type="dxa"/>
            <w:vMerge w:val="restart"/>
            <w:tcBorders>
              <w:top w:val="single" w:sz="8" w:space="0" w:color="auto"/>
              <w:left w:val="single" w:sz="4" w:space="0" w:color="auto"/>
              <w:right w:val="single" w:sz="4" w:space="0" w:color="auto"/>
            </w:tcBorders>
            <w:shd w:val="clear" w:color="000000" w:fill="FFFFFF"/>
          </w:tcPr>
          <w:p w:rsidR="0055415D" w:rsidRPr="00131DDF" w:rsidRDefault="0055415D" w:rsidP="006D6B9C">
            <w:pPr>
              <w:rPr>
                <w:rFonts w:asciiTheme="majorHAnsi" w:hAnsiTheme="majorHAnsi" w:cs="Calibri"/>
                <w:color w:val="000000"/>
              </w:rPr>
            </w:pPr>
            <w:r w:rsidRPr="00131DDF">
              <w:rPr>
                <w:rFonts w:asciiTheme="majorHAnsi" w:hAnsiTheme="majorHAnsi" w:cs="Calibri"/>
                <w:color w:val="000000"/>
              </w:rPr>
              <w:t>Male</w:t>
            </w:r>
          </w:p>
        </w:tc>
        <w:tc>
          <w:tcPr>
            <w:tcW w:w="1246" w:type="dxa"/>
            <w:tcBorders>
              <w:top w:val="single" w:sz="8" w:space="0" w:color="auto"/>
              <w:left w:val="single" w:sz="4" w:space="0" w:color="auto"/>
              <w:bottom w:val="single" w:sz="4" w:space="0" w:color="auto"/>
              <w:right w:val="single" w:sz="4" w:space="0" w:color="auto"/>
            </w:tcBorders>
            <w:shd w:val="clear" w:color="000000" w:fill="FFFFFF"/>
            <w:noWrap/>
            <w:vAlign w:val="bottom"/>
          </w:tcPr>
          <w:p w:rsidR="0055415D" w:rsidRPr="00131DDF" w:rsidRDefault="0055415D" w:rsidP="006D6B9C">
            <w:pPr>
              <w:rPr>
                <w:rFonts w:asciiTheme="majorHAnsi" w:hAnsiTheme="majorHAnsi" w:cs="Calibri"/>
                <w:color w:val="000000"/>
              </w:rPr>
            </w:pPr>
            <w:r w:rsidRPr="00131DDF">
              <w:rPr>
                <w:rFonts w:asciiTheme="majorHAnsi" w:hAnsiTheme="majorHAnsi" w:cs="Calibri"/>
                <w:color w:val="000000"/>
              </w:rPr>
              <w:t>&lt;40y</w:t>
            </w:r>
          </w:p>
        </w:tc>
        <w:tc>
          <w:tcPr>
            <w:tcW w:w="4394" w:type="dxa"/>
            <w:tcBorders>
              <w:top w:val="single" w:sz="8" w:space="0" w:color="auto"/>
              <w:left w:val="single" w:sz="4" w:space="0" w:color="auto"/>
              <w:bottom w:val="single" w:sz="4" w:space="0" w:color="auto"/>
              <w:right w:val="single" w:sz="4" w:space="0" w:color="auto"/>
            </w:tcBorders>
            <w:shd w:val="clear" w:color="000000" w:fill="FFFFFF"/>
            <w:noWrap/>
            <w:vAlign w:val="center"/>
          </w:tcPr>
          <w:p w:rsidR="0055415D" w:rsidRPr="00131DDF" w:rsidRDefault="0055415D" w:rsidP="006D6B9C">
            <w:pPr>
              <w:rPr>
                <w:rFonts w:asciiTheme="majorHAnsi" w:hAnsiTheme="majorHAnsi" w:cs="Calibri"/>
                <w:color w:val="000000"/>
              </w:rPr>
            </w:pPr>
            <w:r w:rsidRPr="00131DDF">
              <w:rPr>
                <w:rFonts w:asciiTheme="majorHAnsi" w:hAnsiTheme="majorHAnsi" w:cs="Calibri"/>
                <w:color w:val="000000"/>
              </w:rPr>
              <w:t>Use clinical judgement (NG12)</w:t>
            </w:r>
          </w:p>
        </w:tc>
      </w:tr>
      <w:tr w:rsidR="0055415D" w:rsidRPr="00131DDF" w:rsidTr="006D6B9C">
        <w:trPr>
          <w:trHeight w:val="288"/>
        </w:trPr>
        <w:tc>
          <w:tcPr>
            <w:tcW w:w="1726" w:type="dxa"/>
            <w:vMerge/>
            <w:tcBorders>
              <w:left w:val="single" w:sz="4" w:space="0" w:color="auto"/>
              <w:right w:val="single" w:sz="4" w:space="0" w:color="auto"/>
            </w:tcBorders>
            <w:shd w:val="clear" w:color="000000" w:fill="FFFFFF"/>
          </w:tcPr>
          <w:p w:rsidR="0055415D" w:rsidRPr="00131DDF" w:rsidRDefault="0055415D" w:rsidP="006D6B9C">
            <w:pPr>
              <w:rPr>
                <w:rFonts w:asciiTheme="majorHAnsi" w:hAnsiTheme="majorHAnsi" w:cs="Calibri"/>
                <w:color w:val="000000"/>
              </w:rPr>
            </w:pPr>
          </w:p>
        </w:tc>
        <w:tc>
          <w:tcPr>
            <w:tcW w:w="1246" w:type="dxa"/>
            <w:tcBorders>
              <w:top w:val="single" w:sz="4" w:space="0" w:color="auto"/>
              <w:left w:val="single" w:sz="4" w:space="0" w:color="auto"/>
              <w:bottom w:val="single" w:sz="4" w:space="0" w:color="auto"/>
              <w:right w:val="single" w:sz="4" w:space="0" w:color="auto"/>
            </w:tcBorders>
            <w:shd w:val="clear" w:color="000000" w:fill="FFFFFF"/>
            <w:noWrap/>
            <w:vAlign w:val="bottom"/>
          </w:tcPr>
          <w:p w:rsidR="0055415D" w:rsidRPr="00131DDF" w:rsidRDefault="0055415D" w:rsidP="006D6B9C">
            <w:pPr>
              <w:rPr>
                <w:rFonts w:asciiTheme="majorHAnsi" w:hAnsiTheme="majorHAnsi" w:cs="Calibri"/>
                <w:color w:val="000000"/>
              </w:rPr>
            </w:pPr>
            <w:r w:rsidRPr="00131DDF">
              <w:rPr>
                <w:rFonts w:asciiTheme="majorHAnsi" w:hAnsiTheme="majorHAnsi" w:cs="Calibri"/>
                <w:color w:val="000000"/>
              </w:rPr>
              <w:t>40-49y</w:t>
            </w:r>
          </w:p>
        </w:tc>
        <w:tc>
          <w:tcPr>
            <w:tcW w:w="4394"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55415D" w:rsidRPr="00131DDF" w:rsidRDefault="0055415D" w:rsidP="006D6B9C">
            <w:pPr>
              <w:rPr>
                <w:rFonts w:asciiTheme="majorHAnsi" w:hAnsiTheme="majorHAnsi" w:cs="Calibri"/>
                <w:color w:val="000000"/>
              </w:rPr>
            </w:pPr>
            <w:r w:rsidRPr="00131DDF">
              <w:rPr>
                <w:rFonts w:asciiTheme="majorHAnsi" w:hAnsiTheme="majorHAnsi" w:cs="Calibri"/>
                <w:color w:val="000000"/>
              </w:rPr>
              <w:t>0-2.50</w:t>
            </w:r>
          </w:p>
        </w:tc>
      </w:tr>
      <w:tr w:rsidR="0055415D" w:rsidRPr="00131DDF" w:rsidTr="006D6B9C">
        <w:trPr>
          <w:trHeight w:val="288"/>
        </w:trPr>
        <w:tc>
          <w:tcPr>
            <w:tcW w:w="1726" w:type="dxa"/>
            <w:vMerge/>
            <w:tcBorders>
              <w:left w:val="single" w:sz="4" w:space="0" w:color="auto"/>
              <w:right w:val="single" w:sz="4" w:space="0" w:color="auto"/>
            </w:tcBorders>
            <w:shd w:val="clear" w:color="000000" w:fill="FFFFFF"/>
          </w:tcPr>
          <w:p w:rsidR="0055415D" w:rsidRPr="00131DDF" w:rsidRDefault="0055415D" w:rsidP="006D6B9C">
            <w:pPr>
              <w:rPr>
                <w:rFonts w:asciiTheme="majorHAnsi" w:hAnsiTheme="majorHAnsi" w:cs="Calibri"/>
                <w:color w:val="000000"/>
              </w:rPr>
            </w:pPr>
          </w:p>
        </w:tc>
        <w:tc>
          <w:tcPr>
            <w:tcW w:w="1246" w:type="dxa"/>
            <w:tcBorders>
              <w:top w:val="single" w:sz="4" w:space="0" w:color="auto"/>
              <w:left w:val="single" w:sz="4" w:space="0" w:color="auto"/>
              <w:bottom w:val="single" w:sz="4" w:space="0" w:color="auto"/>
              <w:right w:val="single" w:sz="4" w:space="0" w:color="auto"/>
            </w:tcBorders>
            <w:shd w:val="clear" w:color="000000" w:fill="FFFFFF"/>
            <w:noWrap/>
            <w:vAlign w:val="bottom"/>
          </w:tcPr>
          <w:p w:rsidR="0055415D" w:rsidRPr="00131DDF" w:rsidRDefault="0055415D" w:rsidP="006D6B9C">
            <w:pPr>
              <w:rPr>
                <w:rFonts w:asciiTheme="majorHAnsi" w:hAnsiTheme="majorHAnsi" w:cs="Calibri"/>
                <w:color w:val="000000"/>
              </w:rPr>
            </w:pPr>
            <w:r w:rsidRPr="00131DDF">
              <w:rPr>
                <w:rFonts w:asciiTheme="majorHAnsi" w:hAnsiTheme="majorHAnsi" w:cs="Calibri"/>
                <w:color w:val="000000"/>
              </w:rPr>
              <w:t>50-59y</w:t>
            </w:r>
          </w:p>
        </w:tc>
        <w:tc>
          <w:tcPr>
            <w:tcW w:w="4394"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55415D" w:rsidRPr="00131DDF" w:rsidRDefault="0055415D" w:rsidP="006D6B9C">
            <w:pPr>
              <w:rPr>
                <w:rFonts w:asciiTheme="majorHAnsi" w:hAnsiTheme="majorHAnsi" w:cs="Calibri"/>
                <w:color w:val="000000"/>
              </w:rPr>
            </w:pPr>
            <w:r w:rsidRPr="00131DDF">
              <w:rPr>
                <w:rFonts w:asciiTheme="majorHAnsi" w:hAnsiTheme="majorHAnsi" w:cs="Calibri"/>
                <w:color w:val="000000"/>
              </w:rPr>
              <w:t>0-3.50</w:t>
            </w:r>
          </w:p>
        </w:tc>
      </w:tr>
      <w:tr w:rsidR="0055415D" w:rsidRPr="00131DDF" w:rsidTr="006D6B9C">
        <w:trPr>
          <w:trHeight w:val="302"/>
        </w:trPr>
        <w:tc>
          <w:tcPr>
            <w:tcW w:w="1726" w:type="dxa"/>
            <w:vMerge/>
            <w:tcBorders>
              <w:left w:val="single" w:sz="4" w:space="0" w:color="auto"/>
              <w:right w:val="single" w:sz="4" w:space="0" w:color="auto"/>
            </w:tcBorders>
            <w:shd w:val="clear" w:color="000000" w:fill="FFFFFF"/>
          </w:tcPr>
          <w:p w:rsidR="0055415D" w:rsidRPr="00131DDF" w:rsidRDefault="0055415D" w:rsidP="006D6B9C">
            <w:pPr>
              <w:rPr>
                <w:rFonts w:asciiTheme="majorHAnsi" w:hAnsiTheme="majorHAnsi" w:cs="Calibri"/>
                <w:color w:val="000000"/>
              </w:rPr>
            </w:pPr>
          </w:p>
        </w:tc>
        <w:tc>
          <w:tcPr>
            <w:tcW w:w="1246" w:type="dxa"/>
            <w:tcBorders>
              <w:top w:val="single" w:sz="4" w:space="0" w:color="auto"/>
              <w:left w:val="single" w:sz="4" w:space="0" w:color="auto"/>
              <w:bottom w:val="single" w:sz="4" w:space="0" w:color="auto"/>
              <w:right w:val="single" w:sz="4" w:space="0" w:color="auto"/>
            </w:tcBorders>
            <w:shd w:val="clear" w:color="000000" w:fill="FFFFFF"/>
            <w:noWrap/>
            <w:vAlign w:val="bottom"/>
          </w:tcPr>
          <w:p w:rsidR="0055415D" w:rsidRPr="00131DDF" w:rsidRDefault="0055415D" w:rsidP="006D6B9C">
            <w:pPr>
              <w:rPr>
                <w:rFonts w:asciiTheme="majorHAnsi" w:hAnsiTheme="majorHAnsi" w:cs="Calibri"/>
                <w:color w:val="000000"/>
              </w:rPr>
            </w:pPr>
            <w:r w:rsidRPr="00131DDF">
              <w:rPr>
                <w:rFonts w:asciiTheme="majorHAnsi" w:hAnsiTheme="majorHAnsi" w:cs="Calibri"/>
                <w:color w:val="000000"/>
              </w:rPr>
              <w:t>60-69y</w:t>
            </w:r>
          </w:p>
        </w:tc>
        <w:tc>
          <w:tcPr>
            <w:tcW w:w="4394"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55415D" w:rsidRPr="00131DDF" w:rsidRDefault="0055415D" w:rsidP="006D6B9C">
            <w:pPr>
              <w:rPr>
                <w:rFonts w:asciiTheme="majorHAnsi" w:hAnsiTheme="majorHAnsi" w:cs="Calibri"/>
                <w:color w:val="000000"/>
              </w:rPr>
            </w:pPr>
            <w:r w:rsidRPr="00131DDF">
              <w:rPr>
                <w:rFonts w:asciiTheme="majorHAnsi" w:hAnsiTheme="majorHAnsi" w:cs="Calibri"/>
                <w:color w:val="000000"/>
              </w:rPr>
              <w:t>0-4.50</w:t>
            </w:r>
          </w:p>
        </w:tc>
      </w:tr>
      <w:tr w:rsidR="0055415D" w:rsidRPr="00131DDF" w:rsidTr="006D6B9C">
        <w:trPr>
          <w:trHeight w:val="302"/>
        </w:trPr>
        <w:tc>
          <w:tcPr>
            <w:tcW w:w="1726" w:type="dxa"/>
            <w:vMerge/>
            <w:tcBorders>
              <w:left w:val="single" w:sz="4" w:space="0" w:color="auto"/>
              <w:right w:val="single" w:sz="4" w:space="0" w:color="auto"/>
            </w:tcBorders>
            <w:shd w:val="clear" w:color="000000" w:fill="FFFFFF"/>
          </w:tcPr>
          <w:p w:rsidR="0055415D" w:rsidRPr="00131DDF" w:rsidRDefault="0055415D" w:rsidP="006D6B9C">
            <w:pPr>
              <w:rPr>
                <w:rFonts w:asciiTheme="majorHAnsi" w:hAnsiTheme="majorHAnsi" w:cs="Calibri"/>
                <w:color w:val="000000"/>
              </w:rPr>
            </w:pPr>
          </w:p>
        </w:tc>
        <w:tc>
          <w:tcPr>
            <w:tcW w:w="1246" w:type="dxa"/>
            <w:tcBorders>
              <w:top w:val="single" w:sz="4" w:space="0" w:color="auto"/>
              <w:left w:val="single" w:sz="4" w:space="0" w:color="auto"/>
              <w:bottom w:val="single" w:sz="4" w:space="0" w:color="auto"/>
              <w:right w:val="single" w:sz="4" w:space="0" w:color="auto"/>
            </w:tcBorders>
            <w:shd w:val="clear" w:color="000000" w:fill="FFFFFF"/>
            <w:noWrap/>
            <w:vAlign w:val="bottom"/>
          </w:tcPr>
          <w:p w:rsidR="0055415D" w:rsidRPr="00131DDF" w:rsidRDefault="0055415D" w:rsidP="006D6B9C">
            <w:pPr>
              <w:rPr>
                <w:rFonts w:asciiTheme="majorHAnsi" w:hAnsiTheme="majorHAnsi" w:cs="Calibri"/>
                <w:color w:val="000000"/>
              </w:rPr>
            </w:pPr>
            <w:r w:rsidRPr="00131DDF">
              <w:rPr>
                <w:rFonts w:asciiTheme="majorHAnsi" w:hAnsiTheme="majorHAnsi" w:cs="Calibri"/>
                <w:color w:val="000000"/>
              </w:rPr>
              <w:t>70-79y</w:t>
            </w:r>
          </w:p>
        </w:tc>
        <w:tc>
          <w:tcPr>
            <w:tcW w:w="4394"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55415D" w:rsidRPr="00131DDF" w:rsidRDefault="0055415D" w:rsidP="006D6B9C">
            <w:pPr>
              <w:rPr>
                <w:rFonts w:asciiTheme="majorHAnsi" w:hAnsiTheme="majorHAnsi" w:cs="Calibri"/>
                <w:color w:val="000000"/>
              </w:rPr>
            </w:pPr>
            <w:r w:rsidRPr="00131DDF">
              <w:rPr>
                <w:rFonts w:asciiTheme="majorHAnsi" w:hAnsiTheme="majorHAnsi" w:cs="Calibri"/>
                <w:color w:val="000000"/>
              </w:rPr>
              <w:t>0-6.50</w:t>
            </w:r>
          </w:p>
        </w:tc>
      </w:tr>
      <w:tr w:rsidR="0055415D" w:rsidRPr="00131DDF" w:rsidTr="006D6B9C">
        <w:trPr>
          <w:trHeight w:val="302"/>
        </w:trPr>
        <w:tc>
          <w:tcPr>
            <w:tcW w:w="1726" w:type="dxa"/>
            <w:vMerge/>
            <w:tcBorders>
              <w:left w:val="single" w:sz="4" w:space="0" w:color="auto"/>
              <w:bottom w:val="single" w:sz="4" w:space="0" w:color="auto"/>
              <w:right w:val="single" w:sz="4" w:space="0" w:color="auto"/>
            </w:tcBorders>
            <w:shd w:val="clear" w:color="000000" w:fill="FFFFFF"/>
          </w:tcPr>
          <w:p w:rsidR="0055415D" w:rsidRPr="00131DDF" w:rsidRDefault="0055415D" w:rsidP="006D6B9C">
            <w:pPr>
              <w:rPr>
                <w:rFonts w:asciiTheme="majorHAnsi" w:hAnsiTheme="majorHAnsi" w:cs="Calibri"/>
                <w:color w:val="000000"/>
              </w:rPr>
            </w:pPr>
          </w:p>
        </w:tc>
        <w:tc>
          <w:tcPr>
            <w:tcW w:w="1246" w:type="dxa"/>
            <w:tcBorders>
              <w:top w:val="single" w:sz="4" w:space="0" w:color="auto"/>
              <w:left w:val="single" w:sz="4" w:space="0" w:color="auto"/>
              <w:bottom w:val="single" w:sz="4" w:space="0" w:color="auto"/>
              <w:right w:val="single" w:sz="4" w:space="0" w:color="auto"/>
            </w:tcBorders>
            <w:shd w:val="clear" w:color="000000" w:fill="FFFFFF"/>
            <w:noWrap/>
            <w:vAlign w:val="bottom"/>
          </w:tcPr>
          <w:p w:rsidR="0055415D" w:rsidRPr="00131DDF" w:rsidRDefault="0055415D" w:rsidP="006D6B9C">
            <w:pPr>
              <w:rPr>
                <w:rFonts w:asciiTheme="majorHAnsi" w:hAnsiTheme="majorHAnsi" w:cs="Calibri"/>
                <w:color w:val="000000"/>
              </w:rPr>
            </w:pPr>
            <w:r w:rsidRPr="00131DDF">
              <w:rPr>
                <w:rFonts w:asciiTheme="majorHAnsi" w:hAnsiTheme="majorHAnsi" w:cs="Calibri"/>
                <w:color w:val="000000"/>
              </w:rPr>
              <w:t>&gt;79y</w:t>
            </w:r>
          </w:p>
        </w:tc>
        <w:tc>
          <w:tcPr>
            <w:tcW w:w="4394"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55415D" w:rsidRPr="00131DDF" w:rsidRDefault="0055415D" w:rsidP="006D6B9C">
            <w:pPr>
              <w:rPr>
                <w:rFonts w:asciiTheme="majorHAnsi" w:hAnsiTheme="majorHAnsi" w:cs="Calibri"/>
                <w:color w:val="000000"/>
              </w:rPr>
            </w:pPr>
            <w:r w:rsidRPr="00131DDF">
              <w:rPr>
                <w:rFonts w:asciiTheme="majorHAnsi" w:hAnsiTheme="majorHAnsi" w:cs="Calibri"/>
                <w:color w:val="000000"/>
              </w:rPr>
              <w:t>Use clinical judgement (NG12)</w:t>
            </w:r>
          </w:p>
        </w:tc>
      </w:tr>
      <w:tr w:rsidR="0055415D" w:rsidRPr="00131DDF" w:rsidTr="006D6B9C">
        <w:trPr>
          <w:trHeight w:val="302"/>
        </w:trPr>
        <w:tc>
          <w:tcPr>
            <w:tcW w:w="2972" w:type="dxa"/>
            <w:gridSpan w:val="2"/>
            <w:tcBorders>
              <w:top w:val="single" w:sz="4" w:space="0" w:color="auto"/>
              <w:left w:val="single" w:sz="4" w:space="0" w:color="auto"/>
              <w:bottom w:val="single" w:sz="8" w:space="0" w:color="auto"/>
              <w:right w:val="single" w:sz="4" w:space="0" w:color="auto"/>
            </w:tcBorders>
            <w:shd w:val="clear" w:color="000000" w:fill="FFFFFF"/>
          </w:tcPr>
          <w:p w:rsidR="0055415D" w:rsidRPr="00131DDF" w:rsidRDefault="0055415D" w:rsidP="006D6B9C">
            <w:pPr>
              <w:rPr>
                <w:rFonts w:asciiTheme="majorHAnsi" w:hAnsiTheme="majorHAnsi" w:cs="Calibri"/>
                <w:color w:val="000000"/>
              </w:rPr>
            </w:pPr>
            <w:r w:rsidRPr="00131DDF">
              <w:rPr>
                <w:rFonts w:asciiTheme="majorHAnsi" w:hAnsiTheme="majorHAnsi" w:cs="Calibri"/>
                <w:color w:val="000000"/>
              </w:rPr>
              <w:t>Female</w:t>
            </w:r>
          </w:p>
        </w:tc>
        <w:tc>
          <w:tcPr>
            <w:tcW w:w="4394" w:type="dxa"/>
            <w:tcBorders>
              <w:top w:val="single" w:sz="4" w:space="0" w:color="auto"/>
              <w:left w:val="single" w:sz="4" w:space="0" w:color="auto"/>
              <w:bottom w:val="single" w:sz="8" w:space="0" w:color="auto"/>
              <w:right w:val="single" w:sz="4" w:space="0" w:color="auto"/>
            </w:tcBorders>
            <w:shd w:val="clear" w:color="000000" w:fill="FFFFFF"/>
            <w:noWrap/>
            <w:vAlign w:val="center"/>
          </w:tcPr>
          <w:p w:rsidR="0055415D" w:rsidRPr="00131DDF" w:rsidRDefault="0055415D" w:rsidP="006D6B9C">
            <w:pPr>
              <w:rPr>
                <w:rFonts w:asciiTheme="majorHAnsi" w:hAnsiTheme="majorHAnsi" w:cs="Calibri"/>
                <w:color w:val="000000"/>
              </w:rPr>
            </w:pPr>
            <w:r w:rsidRPr="00131DDF">
              <w:rPr>
                <w:rFonts w:asciiTheme="majorHAnsi" w:hAnsiTheme="majorHAnsi" w:cs="Calibri"/>
                <w:color w:val="000000"/>
              </w:rPr>
              <w:t>None</w:t>
            </w:r>
          </w:p>
        </w:tc>
      </w:tr>
    </w:tbl>
    <w:p w:rsidR="0055415D" w:rsidRPr="00131DDF" w:rsidRDefault="0055415D" w:rsidP="0055415D">
      <w:pPr>
        <w:rPr>
          <w:rFonts w:asciiTheme="majorHAnsi" w:hAnsiTheme="majorHAnsi"/>
        </w:rPr>
      </w:pPr>
    </w:p>
    <w:p w:rsidR="0055415D" w:rsidRPr="00131DDF" w:rsidRDefault="0055415D" w:rsidP="0055415D">
      <w:pPr>
        <w:rPr>
          <w:rFonts w:asciiTheme="majorHAnsi" w:hAnsiTheme="majorHAnsi"/>
          <w:b/>
        </w:rPr>
      </w:pPr>
      <w:r w:rsidRPr="00131DDF">
        <w:rPr>
          <w:rFonts w:asciiTheme="majorHAnsi" w:hAnsiTheme="majorHAnsi"/>
          <w:b/>
        </w:rPr>
        <w:t>References:</w:t>
      </w:r>
    </w:p>
    <w:p w:rsidR="00BB2773" w:rsidRPr="00131DDF" w:rsidRDefault="0055415D" w:rsidP="00BB2773">
      <w:pPr>
        <w:pStyle w:val="ListParagraph"/>
        <w:numPr>
          <w:ilvl w:val="0"/>
          <w:numId w:val="5"/>
        </w:numPr>
        <w:rPr>
          <w:rFonts w:asciiTheme="majorHAnsi" w:hAnsiTheme="majorHAnsi"/>
          <w:sz w:val="24"/>
          <w:szCs w:val="24"/>
        </w:rPr>
      </w:pPr>
      <w:r w:rsidRPr="00131DDF">
        <w:rPr>
          <w:rFonts w:asciiTheme="majorHAnsi" w:hAnsiTheme="majorHAnsi"/>
          <w:sz w:val="24"/>
          <w:szCs w:val="24"/>
        </w:rPr>
        <w:t xml:space="preserve">NICE guideline [NG12] </w:t>
      </w:r>
      <w:hyperlink r:id="rId13" w:history="1">
        <w:r w:rsidRPr="00131DDF">
          <w:rPr>
            <w:rStyle w:val="Hyperlink"/>
            <w:rFonts w:asciiTheme="majorHAnsi" w:hAnsiTheme="majorHAnsi"/>
            <w:sz w:val="24"/>
            <w:szCs w:val="24"/>
          </w:rPr>
          <w:t>Suspected cancer: recognition and referral</w:t>
        </w:r>
      </w:hyperlink>
      <w:r w:rsidRPr="00131DDF">
        <w:rPr>
          <w:rFonts w:asciiTheme="majorHAnsi" w:hAnsiTheme="majorHAnsi"/>
          <w:sz w:val="24"/>
          <w:szCs w:val="24"/>
        </w:rPr>
        <w:t>. Last updated 15 December 2021</w:t>
      </w:r>
    </w:p>
    <w:p w:rsidR="008D6272" w:rsidRPr="00131DDF" w:rsidRDefault="008D6272" w:rsidP="00BB2773">
      <w:pPr>
        <w:pStyle w:val="ListParagraph"/>
        <w:numPr>
          <w:ilvl w:val="0"/>
          <w:numId w:val="5"/>
        </w:numPr>
        <w:rPr>
          <w:rFonts w:asciiTheme="majorHAnsi" w:hAnsiTheme="majorHAnsi"/>
          <w:sz w:val="24"/>
          <w:szCs w:val="24"/>
        </w:rPr>
      </w:pPr>
      <w:r w:rsidRPr="00131DDF">
        <w:rPr>
          <w:rStyle w:val="eop"/>
          <w:rFonts w:asciiTheme="majorHAnsi" w:hAnsiTheme="majorHAnsi" w:cs="Segoe UI"/>
          <w:color w:val="000000"/>
          <w:sz w:val="24"/>
          <w:szCs w:val="24"/>
        </w:rPr>
        <w:t> </w:t>
      </w:r>
      <w:r w:rsidR="00BB2773" w:rsidRPr="00131DDF">
        <w:rPr>
          <w:rFonts w:asciiTheme="majorHAnsi" w:hAnsiTheme="majorHAnsi"/>
          <w:color w:val="000000"/>
          <w:sz w:val="24"/>
          <w:szCs w:val="24"/>
        </w:rPr>
        <w:t xml:space="preserve">Jong Do </w:t>
      </w:r>
      <w:proofErr w:type="spellStart"/>
      <w:r w:rsidR="00BB2773" w:rsidRPr="00131DDF">
        <w:rPr>
          <w:rFonts w:asciiTheme="majorHAnsi" w:hAnsiTheme="majorHAnsi"/>
          <w:color w:val="000000"/>
          <w:sz w:val="24"/>
          <w:szCs w:val="24"/>
        </w:rPr>
        <w:t>Seo</w:t>
      </w:r>
      <w:proofErr w:type="spellEnd"/>
      <w:r w:rsidR="00BB2773" w:rsidRPr="00131DDF">
        <w:rPr>
          <w:rFonts w:asciiTheme="majorHAnsi" w:hAnsiTheme="majorHAnsi"/>
          <w:color w:val="000000"/>
          <w:sz w:val="24"/>
          <w:szCs w:val="24"/>
        </w:rPr>
        <w:t xml:space="preserve">, Da Young Song, </w:t>
      </w:r>
      <w:proofErr w:type="spellStart"/>
      <w:r w:rsidR="00BB2773" w:rsidRPr="00131DDF">
        <w:rPr>
          <w:rFonts w:asciiTheme="majorHAnsi" w:hAnsiTheme="majorHAnsi"/>
          <w:color w:val="000000"/>
          <w:sz w:val="24"/>
          <w:szCs w:val="24"/>
        </w:rPr>
        <w:t>Youngwon</w:t>
      </w:r>
      <w:proofErr w:type="spellEnd"/>
      <w:r w:rsidR="00BB2773" w:rsidRPr="00131DDF">
        <w:rPr>
          <w:rFonts w:asciiTheme="majorHAnsi" w:hAnsiTheme="majorHAnsi"/>
          <w:color w:val="000000"/>
          <w:sz w:val="24"/>
          <w:szCs w:val="24"/>
        </w:rPr>
        <w:t xml:space="preserve"> Nam et al, Evaluation of analytical performance of </w:t>
      </w:r>
      <w:proofErr w:type="spellStart"/>
      <w:r w:rsidR="00BB2773" w:rsidRPr="00131DDF">
        <w:rPr>
          <w:rFonts w:asciiTheme="majorHAnsi" w:hAnsiTheme="majorHAnsi"/>
          <w:color w:val="000000"/>
          <w:sz w:val="24"/>
          <w:szCs w:val="24"/>
        </w:rPr>
        <w:t>Alinity</w:t>
      </w:r>
      <w:proofErr w:type="spellEnd"/>
      <w:r w:rsidR="00BB2773" w:rsidRPr="00131DDF">
        <w:rPr>
          <w:rFonts w:asciiTheme="majorHAnsi" w:hAnsiTheme="majorHAnsi"/>
          <w:color w:val="000000"/>
          <w:sz w:val="24"/>
          <w:szCs w:val="24"/>
        </w:rPr>
        <w:t xml:space="preserve"> </w:t>
      </w:r>
      <w:proofErr w:type="spellStart"/>
      <w:r w:rsidR="00BB2773" w:rsidRPr="00131DDF">
        <w:rPr>
          <w:rFonts w:asciiTheme="majorHAnsi" w:hAnsiTheme="majorHAnsi"/>
          <w:color w:val="000000"/>
          <w:sz w:val="24"/>
          <w:szCs w:val="24"/>
        </w:rPr>
        <w:t>i</w:t>
      </w:r>
      <w:proofErr w:type="spellEnd"/>
      <w:r w:rsidR="00BB2773" w:rsidRPr="00131DDF">
        <w:rPr>
          <w:rFonts w:asciiTheme="majorHAnsi" w:hAnsiTheme="majorHAnsi"/>
          <w:color w:val="000000"/>
          <w:sz w:val="24"/>
          <w:szCs w:val="24"/>
        </w:rPr>
        <w:t xml:space="preserve"> system on 31 </w:t>
      </w:r>
      <w:proofErr w:type="spellStart"/>
      <w:r w:rsidR="00BB2773" w:rsidRPr="00131DDF">
        <w:rPr>
          <w:rFonts w:asciiTheme="majorHAnsi" w:hAnsiTheme="majorHAnsi"/>
          <w:color w:val="000000"/>
          <w:sz w:val="24"/>
          <w:szCs w:val="24"/>
        </w:rPr>
        <w:t>measurands</w:t>
      </w:r>
      <w:proofErr w:type="spellEnd"/>
      <w:r w:rsidR="00BB2773" w:rsidRPr="00131DDF">
        <w:rPr>
          <w:rFonts w:asciiTheme="majorHAnsi" w:hAnsiTheme="majorHAnsi"/>
          <w:color w:val="000000"/>
          <w:sz w:val="24"/>
          <w:szCs w:val="24"/>
        </w:rPr>
        <w:t xml:space="preserve">, Practical Laboratory Medicine, Volume 22, 2020, </w:t>
      </w:r>
      <w:hyperlink r:id="rId14" w:history="1">
        <w:r w:rsidR="00BB2773" w:rsidRPr="00131DDF">
          <w:rPr>
            <w:rStyle w:val="Hyperlink"/>
            <w:rFonts w:asciiTheme="majorHAnsi" w:hAnsiTheme="majorHAnsi"/>
            <w:sz w:val="24"/>
            <w:szCs w:val="24"/>
          </w:rPr>
          <w:t>https://doi.org/10.1016/j.plabm.2020.e00185</w:t>
        </w:r>
      </w:hyperlink>
    </w:p>
    <w:p w:rsidR="00BB2773" w:rsidRPr="00131DDF" w:rsidRDefault="00BB2773" w:rsidP="008D6272">
      <w:pPr>
        <w:pStyle w:val="paragraph"/>
        <w:spacing w:before="0" w:beforeAutospacing="0" w:after="0" w:afterAutospacing="0"/>
        <w:textAlignment w:val="baseline"/>
        <w:rPr>
          <w:rFonts w:asciiTheme="majorHAnsi" w:hAnsiTheme="majorHAnsi" w:cs="Segoe UI"/>
          <w:color w:val="000000"/>
        </w:rPr>
      </w:pPr>
    </w:p>
    <w:p w:rsidR="000B577C" w:rsidRPr="00131DDF" w:rsidRDefault="008D6272" w:rsidP="008D6272">
      <w:pPr>
        <w:pStyle w:val="paragraph"/>
        <w:spacing w:before="0" w:beforeAutospacing="0" w:after="0" w:afterAutospacing="0"/>
        <w:textAlignment w:val="baseline"/>
        <w:rPr>
          <w:rFonts w:asciiTheme="majorHAnsi" w:hAnsiTheme="majorHAnsi" w:cs="Segoe UI"/>
          <w:color w:val="000000"/>
        </w:rPr>
      </w:pPr>
      <w:r w:rsidRPr="00131DDF">
        <w:rPr>
          <w:rStyle w:val="normaltextrun"/>
          <w:rFonts w:asciiTheme="majorHAnsi" w:hAnsiTheme="majorHAnsi" w:cs="Segoe UI"/>
          <w:color w:val="000000"/>
        </w:rPr>
        <w:t xml:space="preserve">If you have any specific questions regarding the implementation of the equipment or any specific patient pathways that you feel may be impacted, please do not hesitate to contact the department by emailing Lisa Glendenning our Comms and Change Lead for the Automation Programme </w:t>
      </w:r>
      <w:hyperlink r:id="rId15">
        <w:r w:rsidR="00FA5469" w:rsidRPr="00131DDF">
          <w:rPr>
            <w:rFonts w:asciiTheme="majorHAnsi" w:eastAsia="Helvetica Neue" w:hAnsiTheme="majorHAnsi" w:cs="Helvetica Neue"/>
            <w:color w:val="1155CC"/>
            <w:u w:val="single"/>
          </w:rPr>
          <w:t>lisa.glendenning1@nhs.net</w:t>
        </w:r>
      </w:hyperlink>
      <w:r w:rsidR="00FA5469" w:rsidRPr="00131DDF">
        <w:rPr>
          <w:rFonts w:asciiTheme="majorHAnsi" w:eastAsia="Helvetica Neue" w:hAnsiTheme="majorHAnsi" w:cs="Helvetica Neue"/>
        </w:rPr>
        <w:t xml:space="preserve">. </w:t>
      </w:r>
    </w:p>
    <w:p w:rsidR="008D6272" w:rsidRPr="00131DDF" w:rsidRDefault="008D6272">
      <w:pPr>
        <w:pBdr>
          <w:top w:val="nil"/>
          <w:left w:val="nil"/>
          <w:bottom w:val="nil"/>
          <w:right w:val="nil"/>
          <w:between w:val="nil"/>
        </w:pBdr>
        <w:rPr>
          <w:rFonts w:asciiTheme="majorHAnsi" w:eastAsia="Helvetica Neue" w:hAnsiTheme="majorHAnsi" w:cs="Helvetica Neue"/>
        </w:rPr>
      </w:pPr>
    </w:p>
    <w:p w:rsidR="000B577C" w:rsidRPr="00131DDF" w:rsidRDefault="00FA5469">
      <w:pPr>
        <w:pBdr>
          <w:top w:val="nil"/>
          <w:left w:val="nil"/>
          <w:bottom w:val="nil"/>
          <w:right w:val="nil"/>
          <w:between w:val="nil"/>
        </w:pBdr>
        <w:rPr>
          <w:rFonts w:asciiTheme="majorHAnsi" w:eastAsia="Helvetica Neue" w:hAnsiTheme="majorHAnsi" w:cs="Helvetica Neue"/>
        </w:rPr>
      </w:pPr>
      <w:r w:rsidRPr="00131DDF">
        <w:rPr>
          <w:rFonts w:asciiTheme="majorHAnsi" w:eastAsia="Helvetica Neue" w:hAnsiTheme="majorHAnsi" w:cs="Helvetica Neue"/>
        </w:rPr>
        <w:t xml:space="preserve">Kind Regards, </w:t>
      </w:r>
    </w:p>
    <w:p w:rsidR="000B577C" w:rsidRPr="00131DDF" w:rsidRDefault="000B577C">
      <w:pPr>
        <w:pBdr>
          <w:top w:val="nil"/>
          <w:left w:val="nil"/>
          <w:bottom w:val="nil"/>
          <w:right w:val="nil"/>
          <w:between w:val="nil"/>
        </w:pBdr>
        <w:rPr>
          <w:rFonts w:asciiTheme="majorHAnsi" w:eastAsia="Helvetica Neue" w:hAnsiTheme="majorHAnsi" w:cs="Helvetica Neue"/>
        </w:rPr>
      </w:pPr>
    </w:p>
    <w:p w:rsidR="000B577C" w:rsidRDefault="000B577C">
      <w:pPr>
        <w:pBdr>
          <w:top w:val="nil"/>
          <w:left w:val="nil"/>
          <w:bottom w:val="nil"/>
          <w:right w:val="nil"/>
          <w:between w:val="nil"/>
        </w:pBdr>
        <w:rPr>
          <w:rFonts w:asciiTheme="majorHAnsi" w:eastAsia="Helvetica Neue" w:hAnsiTheme="majorHAnsi" w:cs="Helvetica Neue"/>
        </w:rPr>
      </w:pPr>
    </w:p>
    <w:p w:rsidR="00131DDF" w:rsidRPr="00131DDF" w:rsidRDefault="00131DDF">
      <w:pPr>
        <w:pBdr>
          <w:top w:val="nil"/>
          <w:left w:val="nil"/>
          <w:bottom w:val="nil"/>
          <w:right w:val="nil"/>
          <w:between w:val="nil"/>
        </w:pBdr>
        <w:rPr>
          <w:rFonts w:asciiTheme="majorHAnsi" w:eastAsia="Helvetica Neue" w:hAnsiTheme="majorHAnsi" w:cs="Helvetica Neue"/>
        </w:rPr>
      </w:pPr>
    </w:p>
    <w:p w:rsidR="000B577C" w:rsidRPr="00131DDF" w:rsidRDefault="00FA5469">
      <w:pPr>
        <w:pBdr>
          <w:top w:val="nil"/>
          <w:left w:val="nil"/>
          <w:bottom w:val="nil"/>
          <w:right w:val="nil"/>
          <w:between w:val="nil"/>
        </w:pBdr>
        <w:rPr>
          <w:rFonts w:asciiTheme="majorHAnsi" w:eastAsia="Helvetica Neue" w:hAnsiTheme="majorHAnsi" w:cs="Helvetica Neue"/>
        </w:rPr>
      </w:pPr>
      <w:r w:rsidRPr="00131DDF">
        <w:rPr>
          <w:rFonts w:asciiTheme="majorHAnsi" w:eastAsia="Helvetica Neue" w:hAnsiTheme="majorHAnsi" w:cs="Helvetica Neue"/>
        </w:rPr>
        <w:lastRenderedPageBreak/>
        <w:t xml:space="preserve">Patricia </w:t>
      </w:r>
      <w:proofErr w:type="spellStart"/>
      <w:r w:rsidRPr="00131DDF">
        <w:rPr>
          <w:rFonts w:asciiTheme="majorHAnsi" w:eastAsia="Helvetica Neue" w:hAnsiTheme="majorHAnsi" w:cs="Helvetica Neue"/>
        </w:rPr>
        <w:t>Ruwona</w:t>
      </w:r>
      <w:proofErr w:type="spellEnd"/>
    </w:p>
    <w:p w:rsidR="000B577C" w:rsidRPr="00131DDF" w:rsidRDefault="00FA5469">
      <w:pPr>
        <w:pBdr>
          <w:top w:val="nil"/>
          <w:left w:val="nil"/>
          <w:bottom w:val="nil"/>
          <w:right w:val="nil"/>
          <w:between w:val="nil"/>
        </w:pBdr>
        <w:rPr>
          <w:rFonts w:asciiTheme="majorHAnsi" w:eastAsia="Helvetica Neue" w:hAnsiTheme="majorHAnsi" w:cs="Helvetica Neue"/>
        </w:rPr>
      </w:pPr>
      <w:r w:rsidRPr="00131DDF">
        <w:rPr>
          <w:rFonts w:asciiTheme="majorHAnsi" w:eastAsia="Helvetica Neue" w:hAnsiTheme="majorHAnsi" w:cs="Helvetica Neue"/>
        </w:rPr>
        <w:t>BSPS Chief Operating Officer</w:t>
      </w:r>
    </w:p>
    <w:p w:rsidR="000B577C" w:rsidRPr="00131DDF" w:rsidRDefault="00FA5469">
      <w:pPr>
        <w:pBdr>
          <w:top w:val="nil"/>
          <w:left w:val="nil"/>
          <w:bottom w:val="nil"/>
          <w:right w:val="nil"/>
          <w:between w:val="nil"/>
        </w:pBdr>
        <w:rPr>
          <w:rFonts w:asciiTheme="majorHAnsi" w:eastAsia="Helvetica Neue" w:hAnsiTheme="majorHAnsi" w:cs="Helvetica Neue"/>
        </w:rPr>
      </w:pPr>
      <w:proofErr w:type="gramStart"/>
      <w:r w:rsidRPr="00131DDF">
        <w:rPr>
          <w:rFonts w:asciiTheme="majorHAnsi" w:eastAsia="Helvetica Neue" w:hAnsiTheme="majorHAnsi" w:cs="Helvetica Neue"/>
        </w:rPr>
        <w:t>and</w:t>
      </w:r>
      <w:proofErr w:type="gramEnd"/>
      <w:r w:rsidRPr="00131DDF">
        <w:rPr>
          <w:rFonts w:asciiTheme="majorHAnsi" w:eastAsia="Helvetica Neue" w:hAnsiTheme="majorHAnsi" w:cs="Helvetica Neue"/>
        </w:rPr>
        <w:t xml:space="preserve"> </w:t>
      </w:r>
    </w:p>
    <w:p w:rsidR="000B577C" w:rsidRPr="00131DDF" w:rsidRDefault="000B577C">
      <w:pPr>
        <w:pBdr>
          <w:top w:val="nil"/>
          <w:left w:val="nil"/>
          <w:bottom w:val="nil"/>
          <w:right w:val="nil"/>
          <w:between w:val="nil"/>
        </w:pBdr>
        <w:rPr>
          <w:rFonts w:asciiTheme="majorHAnsi" w:eastAsia="Helvetica Neue" w:hAnsiTheme="majorHAnsi" w:cs="Helvetica Neue"/>
        </w:rPr>
      </w:pPr>
    </w:p>
    <w:p w:rsidR="000B577C" w:rsidRPr="00131DDF" w:rsidRDefault="00FA5469">
      <w:pPr>
        <w:pBdr>
          <w:top w:val="nil"/>
          <w:left w:val="nil"/>
          <w:bottom w:val="nil"/>
          <w:right w:val="nil"/>
          <w:between w:val="nil"/>
        </w:pBdr>
        <w:rPr>
          <w:rFonts w:asciiTheme="majorHAnsi" w:eastAsia="Helvetica Neue" w:hAnsiTheme="majorHAnsi" w:cs="Helvetica Neue"/>
        </w:rPr>
      </w:pPr>
      <w:r w:rsidRPr="00131DDF">
        <w:rPr>
          <w:rFonts w:asciiTheme="majorHAnsi" w:eastAsia="Helvetica Neue" w:hAnsiTheme="majorHAnsi" w:cs="Helvetica Neue"/>
        </w:rPr>
        <w:t xml:space="preserve">David Cartwright                                                                                 </w:t>
      </w:r>
    </w:p>
    <w:p w:rsidR="000B577C" w:rsidRPr="00131DDF" w:rsidRDefault="00FA5469">
      <w:pPr>
        <w:pBdr>
          <w:top w:val="nil"/>
          <w:left w:val="nil"/>
          <w:bottom w:val="nil"/>
          <w:right w:val="nil"/>
          <w:between w:val="nil"/>
        </w:pBdr>
        <w:rPr>
          <w:rFonts w:asciiTheme="majorHAnsi" w:eastAsia="Helvetica Neue" w:hAnsiTheme="majorHAnsi" w:cs="Helvetica Neue"/>
        </w:rPr>
      </w:pPr>
      <w:r w:rsidRPr="00131DDF">
        <w:rPr>
          <w:rFonts w:asciiTheme="majorHAnsi" w:eastAsia="Helvetica Neue" w:hAnsiTheme="majorHAnsi" w:cs="Helvetica Neue"/>
        </w:rPr>
        <w:t xml:space="preserve">BSPS Associate Medical Director (Blood Sciences)             </w:t>
      </w:r>
    </w:p>
    <w:p w:rsidR="000B577C" w:rsidRPr="00131DDF" w:rsidRDefault="000B577C">
      <w:pPr>
        <w:pBdr>
          <w:top w:val="nil"/>
          <w:left w:val="nil"/>
          <w:bottom w:val="nil"/>
          <w:right w:val="nil"/>
          <w:between w:val="nil"/>
        </w:pBdr>
        <w:rPr>
          <w:rFonts w:asciiTheme="majorHAnsi" w:eastAsia="Helvetica Neue" w:hAnsiTheme="majorHAnsi" w:cs="Helvetica Neue"/>
          <w:color w:val="000000"/>
        </w:rPr>
      </w:pPr>
    </w:p>
    <w:p w:rsidR="000B577C" w:rsidRPr="00131DDF" w:rsidRDefault="000B577C">
      <w:pPr>
        <w:pBdr>
          <w:top w:val="nil"/>
          <w:left w:val="nil"/>
          <w:bottom w:val="nil"/>
          <w:right w:val="nil"/>
          <w:between w:val="nil"/>
        </w:pBdr>
        <w:rPr>
          <w:rFonts w:asciiTheme="majorHAnsi" w:eastAsia="Helvetica Neue" w:hAnsiTheme="majorHAnsi" w:cs="Helvetica Neue"/>
          <w:color w:val="000000"/>
        </w:rPr>
      </w:pPr>
    </w:p>
    <w:p w:rsidR="0055415D" w:rsidRPr="00131DDF" w:rsidRDefault="0055415D">
      <w:pPr>
        <w:pBdr>
          <w:top w:val="nil"/>
          <w:left w:val="nil"/>
          <w:bottom w:val="nil"/>
          <w:right w:val="nil"/>
          <w:between w:val="nil"/>
        </w:pBdr>
        <w:rPr>
          <w:rFonts w:asciiTheme="majorHAnsi" w:eastAsia="Helvetica Neue" w:hAnsiTheme="majorHAnsi" w:cs="Helvetica Neue"/>
          <w:color w:val="000000"/>
        </w:rPr>
      </w:pPr>
    </w:p>
    <w:sectPr w:rsidR="0055415D" w:rsidRPr="00131DDF" w:rsidSect="008D6272">
      <w:headerReference w:type="default" r:id="rId16"/>
      <w:headerReference w:type="first" r:id="rId17"/>
      <w:pgSz w:w="11906" w:h="16838"/>
      <w:pgMar w:top="1440" w:right="1440" w:bottom="1440" w:left="1440" w:header="709" w:footer="850" w:gutter="0"/>
      <w:pgNumType w:start="1"/>
      <w:cols w:space="72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A3755" w:rsidRDefault="007A3755">
      <w:r>
        <w:separator/>
      </w:r>
    </w:p>
  </w:endnote>
  <w:endnote w:type="continuationSeparator" w:id="0">
    <w:p w:rsidR="007A3755" w:rsidRDefault="007A375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Helvetica Neue">
    <w:altName w:val="Times New Roman"/>
    <w:charset w:val="00"/>
    <w:family w:val="auto"/>
    <w:pitch w:val="default"/>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A3755" w:rsidRDefault="007A3755">
      <w:r>
        <w:separator/>
      </w:r>
    </w:p>
  </w:footnote>
  <w:footnote w:type="continuationSeparator" w:id="0">
    <w:p w:rsidR="007A3755" w:rsidRDefault="007A375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B577C" w:rsidRDefault="000B577C">
    <w:pPr>
      <w:pBdr>
        <w:top w:val="none" w:sz="0" w:space="0" w:color="000000"/>
        <w:left w:val="none" w:sz="0" w:space="0" w:color="000000"/>
        <w:bottom w:val="none" w:sz="0" w:space="0" w:color="000000"/>
        <w:right w:val="none" w:sz="0" w:space="0" w:color="000000"/>
        <w:between w:val="none" w:sz="0" w:space="0" w:color="000000"/>
      </w:pBdr>
      <w:tabs>
        <w:tab w:val="center" w:pos="4513"/>
        <w:tab w:val="right" w:pos="9026"/>
      </w:tabs>
      <w:jc w:val="right"/>
      <w:rPr>
        <w:rFonts w:ascii="Helvetica Neue" w:eastAsia="Helvetica Neue" w:hAnsi="Helvetica Neue" w:cs="Helvetica Neue"/>
        <w:color w:val="000000"/>
        <w:sz w:val="22"/>
        <w:szCs w:val="22"/>
      </w:rPr>
    </w:pPr>
  </w:p>
  <w:p w:rsidR="000B577C" w:rsidRDefault="000B577C">
    <w:pPr>
      <w:pBdr>
        <w:top w:val="none" w:sz="0" w:space="0" w:color="000000"/>
        <w:left w:val="none" w:sz="0" w:space="0" w:color="000000"/>
        <w:bottom w:val="none" w:sz="0" w:space="0" w:color="000000"/>
        <w:right w:val="none" w:sz="0" w:space="0" w:color="000000"/>
        <w:between w:val="none" w:sz="0" w:space="0" w:color="000000"/>
      </w:pBdr>
      <w:tabs>
        <w:tab w:val="center" w:pos="4513"/>
        <w:tab w:val="right" w:pos="9026"/>
      </w:tabs>
      <w:jc w:val="right"/>
      <w:rPr>
        <w:rFonts w:ascii="Helvetica Neue" w:eastAsia="Helvetica Neue" w:hAnsi="Helvetica Neue" w:cs="Helvetica Neue"/>
        <w:color w:val="000000"/>
        <w:sz w:val="22"/>
        <w:szCs w:val="2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D6272" w:rsidRDefault="008D6272" w:rsidP="008D6272">
    <w:pPr>
      <w:pStyle w:val="Header"/>
      <w:jc w:val="right"/>
    </w:pPr>
    <w:r>
      <w:rPr>
        <w:noProof/>
        <w:color w:val="000000"/>
      </w:rPr>
      <w:drawing>
        <wp:inline distT="0" distB="0" distL="0" distR="0" wp14:anchorId="45201C44" wp14:editId="7BE92A8D">
          <wp:extent cx="2838450" cy="704850"/>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2838450" cy="704850"/>
                  </a:xfrm>
                  <a:prstGeom prst="rect">
                    <a:avLst/>
                  </a:prstGeom>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FD0262"/>
    <w:multiLevelType w:val="multilevel"/>
    <w:tmpl w:val="54326CF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ABA7CB9"/>
    <w:multiLevelType w:val="hybridMultilevel"/>
    <w:tmpl w:val="187C96B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4F455F3D"/>
    <w:multiLevelType w:val="multilevel"/>
    <w:tmpl w:val="FD24FC1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674B6805"/>
    <w:multiLevelType w:val="multilevel"/>
    <w:tmpl w:val="BD54BF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79632A27"/>
    <w:multiLevelType w:val="hybridMultilevel"/>
    <w:tmpl w:val="A2E8124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3"/>
  </w:num>
  <w:num w:numId="2">
    <w:abstractNumId w:val="0"/>
  </w:num>
  <w:num w:numId="3">
    <w:abstractNumId w:val="2"/>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B577C"/>
    <w:rsid w:val="000B577C"/>
    <w:rsid w:val="00131DDF"/>
    <w:rsid w:val="00153F8F"/>
    <w:rsid w:val="0029311A"/>
    <w:rsid w:val="0054737A"/>
    <w:rsid w:val="0055415D"/>
    <w:rsid w:val="00581735"/>
    <w:rsid w:val="006A63E5"/>
    <w:rsid w:val="007A3755"/>
    <w:rsid w:val="00807ECC"/>
    <w:rsid w:val="00846976"/>
    <w:rsid w:val="008C52C4"/>
    <w:rsid w:val="008D6272"/>
    <w:rsid w:val="0091317C"/>
    <w:rsid w:val="009C1832"/>
    <w:rsid w:val="00A67A09"/>
    <w:rsid w:val="00BB2773"/>
    <w:rsid w:val="00BE4E8E"/>
    <w:rsid w:val="00BE54D1"/>
    <w:rsid w:val="00E6423C"/>
    <w:rsid w:val="00E64371"/>
    <w:rsid w:val="00F975CE"/>
    <w:rsid w:val="00FA546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CF250E93-3391-4BED-9FC2-CECC03AB30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4"/>
        <w:szCs w:val="24"/>
        <w:lang w:val="en-US"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Pr>
      <w:lang w:val="en-GB"/>
    </w:rPr>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rPr>
  </w:style>
  <w:style w:type="paragraph" w:styleId="Heading5">
    <w:name w:val="heading 5"/>
    <w:basedOn w:val="Normal"/>
    <w:next w:val="Normal"/>
    <w:pPr>
      <w:keepNext/>
      <w:keepLines/>
      <w:spacing w:before="220" w:after="40"/>
      <w:outlineLvl w:val="4"/>
    </w:pPr>
    <w:rPr>
      <w:b/>
      <w:sz w:val="22"/>
      <w:szCs w:val="22"/>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paragraph" w:customStyle="1" w:styleId="paragraph">
    <w:name w:val="paragraph"/>
    <w:basedOn w:val="Normal"/>
    <w:rsid w:val="008D6272"/>
    <w:pPr>
      <w:spacing w:before="100" w:beforeAutospacing="1" w:after="100" w:afterAutospacing="1"/>
    </w:pPr>
  </w:style>
  <w:style w:type="character" w:customStyle="1" w:styleId="normaltextrun">
    <w:name w:val="normaltextrun"/>
    <w:basedOn w:val="DefaultParagraphFont"/>
    <w:rsid w:val="008D6272"/>
  </w:style>
  <w:style w:type="character" w:customStyle="1" w:styleId="eop">
    <w:name w:val="eop"/>
    <w:basedOn w:val="DefaultParagraphFont"/>
    <w:rsid w:val="008D6272"/>
  </w:style>
  <w:style w:type="character" w:customStyle="1" w:styleId="pagebreaktextspan">
    <w:name w:val="pagebreaktextspan"/>
    <w:basedOn w:val="DefaultParagraphFont"/>
    <w:rsid w:val="008D6272"/>
  </w:style>
  <w:style w:type="paragraph" w:styleId="Header">
    <w:name w:val="header"/>
    <w:basedOn w:val="Normal"/>
    <w:link w:val="HeaderChar"/>
    <w:uiPriority w:val="99"/>
    <w:unhideWhenUsed/>
    <w:rsid w:val="008D6272"/>
    <w:pPr>
      <w:tabs>
        <w:tab w:val="center" w:pos="4513"/>
        <w:tab w:val="right" w:pos="9026"/>
      </w:tabs>
    </w:pPr>
  </w:style>
  <w:style w:type="character" w:customStyle="1" w:styleId="HeaderChar">
    <w:name w:val="Header Char"/>
    <w:basedOn w:val="DefaultParagraphFont"/>
    <w:link w:val="Header"/>
    <w:uiPriority w:val="99"/>
    <w:rsid w:val="008D6272"/>
  </w:style>
  <w:style w:type="paragraph" w:styleId="Footer">
    <w:name w:val="footer"/>
    <w:basedOn w:val="Normal"/>
    <w:link w:val="FooterChar"/>
    <w:uiPriority w:val="99"/>
    <w:unhideWhenUsed/>
    <w:rsid w:val="008D6272"/>
    <w:pPr>
      <w:tabs>
        <w:tab w:val="center" w:pos="4513"/>
        <w:tab w:val="right" w:pos="9026"/>
      </w:tabs>
    </w:pPr>
  </w:style>
  <w:style w:type="character" w:customStyle="1" w:styleId="FooterChar">
    <w:name w:val="Footer Char"/>
    <w:basedOn w:val="DefaultParagraphFont"/>
    <w:link w:val="Footer"/>
    <w:uiPriority w:val="99"/>
    <w:rsid w:val="008D6272"/>
  </w:style>
  <w:style w:type="paragraph" w:styleId="ListParagraph">
    <w:name w:val="List Paragraph"/>
    <w:basedOn w:val="Normal"/>
    <w:uiPriority w:val="34"/>
    <w:qFormat/>
    <w:rsid w:val="0091317C"/>
    <w:pPr>
      <w:spacing w:after="160" w:line="259" w:lineRule="auto"/>
      <w:ind w:left="720"/>
      <w:contextualSpacing/>
    </w:pPr>
    <w:rPr>
      <w:rFonts w:asciiTheme="minorHAnsi" w:eastAsiaTheme="minorHAnsi" w:hAnsiTheme="minorHAnsi" w:cstheme="minorBidi"/>
      <w:sz w:val="22"/>
      <w:szCs w:val="22"/>
      <w:lang w:eastAsia="en-US"/>
    </w:rPr>
  </w:style>
  <w:style w:type="character" w:styleId="Hyperlink">
    <w:name w:val="Hyperlink"/>
    <w:basedOn w:val="DefaultParagraphFont"/>
    <w:uiPriority w:val="99"/>
    <w:unhideWhenUsed/>
    <w:rsid w:val="0055415D"/>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63748625">
      <w:bodyDiv w:val="1"/>
      <w:marLeft w:val="0"/>
      <w:marRight w:val="0"/>
      <w:marTop w:val="0"/>
      <w:marBottom w:val="0"/>
      <w:divBdr>
        <w:top w:val="none" w:sz="0" w:space="0" w:color="auto"/>
        <w:left w:val="none" w:sz="0" w:space="0" w:color="auto"/>
        <w:bottom w:val="none" w:sz="0" w:space="0" w:color="auto"/>
        <w:right w:val="none" w:sz="0" w:space="0" w:color="auto"/>
      </w:divBdr>
      <w:divsChild>
        <w:div w:id="588542560">
          <w:marLeft w:val="0"/>
          <w:marRight w:val="0"/>
          <w:marTop w:val="0"/>
          <w:marBottom w:val="0"/>
          <w:divBdr>
            <w:top w:val="none" w:sz="0" w:space="0" w:color="auto"/>
            <w:left w:val="none" w:sz="0" w:space="0" w:color="auto"/>
            <w:bottom w:val="none" w:sz="0" w:space="0" w:color="auto"/>
            <w:right w:val="none" w:sz="0" w:space="0" w:color="auto"/>
          </w:divBdr>
        </w:div>
        <w:div w:id="1679044365">
          <w:marLeft w:val="0"/>
          <w:marRight w:val="0"/>
          <w:marTop w:val="0"/>
          <w:marBottom w:val="0"/>
          <w:divBdr>
            <w:top w:val="none" w:sz="0" w:space="0" w:color="auto"/>
            <w:left w:val="none" w:sz="0" w:space="0" w:color="auto"/>
            <w:bottom w:val="none" w:sz="0" w:space="0" w:color="auto"/>
            <w:right w:val="none" w:sz="0" w:space="0" w:color="auto"/>
          </w:divBdr>
        </w:div>
        <w:div w:id="183909615">
          <w:marLeft w:val="0"/>
          <w:marRight w:val="0"/>
          <w:marTop w:val="0"/>
          <w:marBottom w:val="0"/>
          <w:divBdr>
            <w:top w:val="none" w:sz="0" w:space="0" w:color="auto"/>
            <w:left w:val="none" w:sz="0" w:space="0" w:color="auto"/>
            <w:bottom w:val="none" w:sz="0" w:space="0" w:color="auto"/>
            <w:right w:val="none" w:sz="0" w:space="0" w:color="auto"/>
          </w:divBdr>
        </w:div>
        <w:div w:id="1029332079">
          <w:marLeft w:val="0"/>
          <w:marRight w:val="0"/>
          <w:marTop w:val="0"/>
          <w:marBottom w:val="0"/>
          <w:divBdr>
            <w:top w:val="none" w:sz="0" w:space="0" w:color="auto"/>
            <w:left w:val="none" w:sz="0" w:space="0" w:color="auto"/>
            <w:bottom w:val="none" w:sz="0" w:space="0" w:color="auto"/>
            <w:right w:val="none" w:sz="0" w:space="0" w:color="auto"/>
          </w:divBdr>
        </w:div>
        <w:div w:id="949435670">
          <w:marLeft w:val="0"/>
          <w:marRight w:val="0"/>
          <w:marTop w:val="0"/>
          <w:marBottom w:val="0"/>
          <w:divBdr>
            <w:top w:val="none" w:sz="0" w:space="0" w:color="auto"/>
            <w:left w:val="none" w:sz="0" w:space="0" w:color="auto"/>
            <w:bottom w:val="none" w:sz="0" w:space="0" w:color="auto"/>
            <w:right w:val="none" w:sz="0" w:space="0" w:color="auto"/>
          </w:divBdr>
        </w:div>
        <w:div w:id="33237618">
          <w:marLeft w:val="0"/>
          <w:marRight w:val="0"/>
          <w:marTop w:val="0"/>
          <w:marBottom w:val="0"/>
          <w:divBdr>
            <w:top w:val="none" w:sz="0" w:space="0" w:color="auto"/>
            <w:left w:val="none" w:sz="0" w:space="0" w:color="auto"/>
            <w:bottom w:val="none" w:sz="0" w:space="0" w:color="auto"/>
            <w:right w:val="none" w:sz="0" w:space="0" w:color="auto"/>
          </w:divBdr>
        </w:div>
        <w:div w:id="1673683626">
          <w:marLeft w:val="0"/>
          <w:marRight w:val="0"/>
          <w:marTop w:val="0"/>
          <w:marBottom w:val="0"/>
          <w:divBdr>
            <w:top w:val="none" w:sz="0" w:space="0" w:color="auto"/>
            <w:left w:val="none" w:sz="0" w:space="0" w:color="auto"/>
            <w:bottom w:val="none" w:sz="0" w:space="0" w:color="auto"/>
            <w:right w:val="none" w:sz="0" w:space="0" w:color="auto"/>
          </w:divBdr>
        </w:div>
        <w:div w:id="1045569503">
          <w:marLeft w:val="0"/>
          <w:marRight w:val="0"/>
          <w:marTop w:val="0"/>
          <w:marBottom w:val="0"/>
          <w:divBdr>
            <w:top w:val="none" w:sz="0" w:space="0" w:color="auto"/>
            <w:left w:val="none" w:sz="0" w:space="0" w:color="auto"/>
            <w:bottom w:val="none" w:sz="0" w:space="0" w:color="auto"/>
            <w:right w:val="none" w:sz="0" w:space="0" w:color="auto"/>
          </w:divBdr>
        </w:div>
        <w:div w:id="774986761">
          <w:marLeft w:val="0"/>
          <w:marRight w:val="0"/>
          <w:marTop w:val="0"/>
          <w:marBottom w:val="0"/>
          <w:divBdr>
            <w:top w:val="none" w:sz="0" w:space="0" w:color="auto"/>
            <w:left w:val="none" w:sz="0" w:space="0" w:color="auto"/>
            <w:bottom w:val="none" w:sz="0" w:space="0" w:color="auto"/>
            <w:right w:val="none" w:sz="0" w:space="0" w:color="auto"/>
          </w:divBdr>
        </w:div>
        <w:div w:id="625938284">
          <w:marLeft w:val="0"/>
          <w:marRight w:val="0"/>
          <w:marTop w:val="0"/>
          <w:marBottom w:val="0"/>
          <w:divBdr>
            <w:top w:val="none" w:sz="0" w:space="0" w:color="auto"/>
            <w:left w:val="none" w:sz="0" w:space="0" w:color="auto"/>
            <w:bottom w:val="none" w:sz="0" w:space="0" w:color="auto"/>
            <w:right w:val="none" w:sz="0" w:space="0" w:color="auto"/>
          </w:divBdr>
          <w:divsChild>
            <w:div w:id="366561292">
              <w:marLeft w:val="0"/>
              <w:marRight w:val="0"/>
              <w:marTop w:val="0"/>
              <w:marBottom w:val="0"/>
              <w:divBdr>
                <w:top w:val="none" w:sz="0" w:space="0" w:color="auto"/>
                <w:left w:val="none" w:sz="0" w:space="0" w:color="auto"/>
                <w:bottom w:val="none" w:sz="0" w:space="0" w:color="auto"/>
                <w:right w:val="none" w:sz="0" w:space="0" w:color="auto"/>
              </w:divBdr>
            </w:div>
            <w:div w:id="794833649">
              <w:marLeft w:val="0"/>
              <w:marRight w:val="0"/>
              <w:marTop w:val="0"/>
              <w:marBottom w:val="0"/>
              <w:divBdr>
                <w:top w:val="none" w:sz="0" w:space="0" w:color="auto"/>
                <w:left w:val="none" w:sz="0" w:space="0" w:color="auto"/>
                <w:bottom w:val="none" w:sz="0" w:space="0" w:color="auto"/>
                <w:right w:val="none" w:sz="0" w:space="0" w:color="auto"/>
              </w:divBdr>
            </w:div>
            <w:div w:id="1757894611">
              <w:marLeft w:val="0"/>
              <w:marRight w:val="0"/>
              <w:marTop w:val="0"/>
              <w:marBottom w:val="0"/>
              <w:divBdr>
                <w:top w:val="none" w:sz="0" w:space="0" w:color="auto"/>
                <w:left w:val="none" w:sz="0" w:space="0" w:color="auto"/>
                <w:bottom w:val="none" w:sz="0" w:space="0" w:color="auto"/>
                <w:right w:val="none" w:sz="0" w:space="0" w:color="auto"/>
              </w:divBdr>
            </w:div>
            <w:div w:id="1292054852">
              <w:marLeft w:val="0"/>
              <w:marRight w:val="0"/>
              <w:marTop w:val="0"/>
              <w:marBottom w:val="0"/>
              <w:divBdr>
                <w:top w:val="none" w:sz="0" w:space="0" w:color="auto"/>
                <w:left w:val="none" w:sz="0" w:space="0" w:color="auto"/>
                <w:bottom w:val="none" w:sz="0" w:space="0" w:color="auto"/>
                <w:right w:val="none" w:sz="0" w:space="0" w:color="auto"/>
              </w:divBdr>
            </w:div>
          </w:divsChild>
        </w:div>
        <w:div w:id="135801866">
          <w:marLeft w:val="0"/>
          <w:marRight w:val="0"/>
          <w:marTop w:val="0"/>
          <w:marBottom w:val="0"/>
          <w:divBdr>
            <w:top w:val="none" w:sz="0" w:space="0" w:color="auto"/>
            <w:left w:val="none" w:sz="0" w:space="0" w:color="auto"/>
            <w:bottom w:val="none" w:sz="0" w:space="0" w:color="auto"/>
            <w:right w:val="none" w:sz="0" w:space="0" w:color="auto"/>
          </w:divBdr>
          <w:divsChild>
            <w:div w:id="1117528974">
              <w:marLeft w:val="-75"/>
              <w:marRight w:val="0"/>
              <w:marTop w:val="30"/>
              <w:marBottom w:val="30"/>
              <w:divBdr>
                <w:top w:val="none" w:sz="0" w:space="0" w:color="auto"/>
                <w:left w:val="none" w:sz="0" w:space="0" w:color="auto"/>
                <w:bottom w:val="none" w:sz="0" w:space="0" w:color="auto"/>
                <w:right w:val="none" w:sz="0" w:space="0" w:color="auto"/>
              </w:divBdr>
              <w:divsChild>
                <w:div w:id="1938512336">
                  <w:marLeft w:val="0"/>
                  <w:marRight w:val="0"/>
                  <w:marTop w:val="0"/>
                  <w:marBottom w:val="0"/>
                  <w:divBdr>
                    <w:top w:val="none" w:sz="0" w:space="0" w:color="auto"/>
                    <w:left w:val="none" w:sz="0" w:space="0" w:color="auto"/>
                    <w:bottom w:val="none" w:sz="0" w:space="0" w:color="auto"/>
                    <w:right w:val="none" w:sz="0" w:space="0" w:color="auto"/>
                  </w:divBdr>
                  <w:divsChild>
                    <w:div w:id="467745302">
                      <w:marLeft w:val="0"/>
                      <w:marRight w:val="0"/>
                      <w:marTop w:val="0"/>
                      <w:marBottom w:val="0"/>
                      <w:divBdr>
                        <w:top w:val="none" w:sz="0" w:space="0" w:color="auto"/>
                        <w:left w:val="none" w:sz="0" w:space="0" w:color="auto"/>
                        <w:bottom w:val="none" w:sz="0" w:space="0" w:color="auto"/>
                        <w:right w:val="none" w:sz="0" w:space="0" w:color="auto"/>
                      </w:divBdr>
                    </w:div>
                  </w:divsChild>
                </w:div>
                <w:div w:id="1858228477">
                  <w:marLeft w:val="0"/>
                  <w:marRight w:val="0"/>
                  <w:marTop w:val="0"/>
                  <w:marBottom w:val="0"/>
                  <w:divBdr>
                    <w:top w:val="none" w:sz="0" w:space="0" w:color="auto"/>
                    <w:left w:val="none" w:sz="0" w:space="0" w:color="auto"/>
                    <w:bottom w:val="none" w:sz="0" w:space="0" w:color="auto"/>
                    <w:right w:val="none" w:sz="0" w:space="0" w:color="auto"/>
                  </w:divBdr>
                  <w:divsChild>
                    <w:div w:id="851067605">
                      <w:marLeft w:val="0"/>
                      <w:marRight w:val="0"/>
                      <w:marTop w:val="0"/>
                      <w:marBottom w:val="0"/>
                      <w:divBdr>
                        <w:top w:val="none" w:sz="0" w:space="0" w:color="auto"/>
                        <w:left w:val="none" w:sz="0" w:space="0" w:color="auto"/>
                        <w:bottom w:val="none" w:sz="0" w:space="0" w:color="auto"/>
                        <w:right w:val="none" w:sz="0" w:space="0" w:color="auto"/>
                      </w:divBdr>
                    </w:div>
                  </w:divsChild>
                </w:div>
                <w:div w:id="375348754">
                  <w:marLeft w:val="0"/>
                  <w:marRight w:val="0"/>
                  <w:marTop w:val="0"/>
                  <w:marBottom w:val="0"/>
                  <w:divBdr>
                    <w:top w:val="none" w:sz="0" w:space="0" w:color="auto"/>
                    <w:left w:val="none" w:sz="0" w:space="0" w:color="auto"/>
                    <w:bottom w:val="none" w:sz="0" w:space="0" w:color="auto"/>
                    <w:right w:val="none" w:sz="0" w:space="0" w:color="auto"/>
                  </w:divBdr>
                  <w:divsChild>
                    <w:div w:id="171722694">
                      <w:marLeft w:val="0"/>
                      <w:marRight w:val="0"/>
                      <w:marTop w:val="0"/>
                      <w:marBottom w:val="0"/>
                      <w:divBdr>
                        <w:top w:val="none" w:sz="0" w:space="0" w:color="auto"/>
                        <w:left w:val="none" w:sz="0" w:space="0" w:color="auto"/>
                        <w:bottom w:val="none" w:sz="0" w:space="0" w:color="auto"/>
                        <w:right w:val="none" w:sz="0" w:space="0" w:color="auto"/>
                      </w:divBdr>
                    </w:div>
                  </w:divsChild>
                </w:div>
                <w:div w:id="1479496595">
                  <w:marLeft w:val="0"/>
                  <w:marRight w:val="0"/>
                  <w:marTop w:val="0"/>
                  <w:marBottom w:val="0"/>
                  <w:divBdr>
                    <w:top w:val="none" w:sz="0" w:space="0" w:color="auto"/>
                    <w:left w:val="none" w:sz="0" w:space="0" w:color="auto"/>
                    <w:bottom w:val="none" w:sz="0" w:space="0" w:color="auto"/>
                    <w:right w:val="none" w:sz="0" w:space="0" w:color="auto"/>
                  </w:divBdr>
                  <w:divsChild>
                    <w:div w:id="88698560">
                      <w:marLeft w:val="0"/>
                      <w:marRight w:val="0"/>
                      <w:marTop w:val="0"/>
                      <w:marBottom w:val="0"/>
                      <w:divBdr>
                        <w:top w:val="none" w:sz="0" w:space="0" w:color="auto"/>
                        <w:left w:val="none" w:sz="0" w:space="0" w:color="auto"/>
                        <w:bottom w:val="none" w:sz="0" w:space="0" w:color="auto"/>
                        <w:right w:val="none" w:sz="0" w:space="0" w:color="auto"/>
                      </w:divBdr>
                    </w:div>
                  </w:divsChild>
                </w:div>
                <w:div w:id="522133312">
                  <w:marLeft w:val="0"/>
                  <w:marRight w:val="0"/>
                  <w:marTop w:val="0"/>
                  <w:marBottom w:val="0"/>
                  <w:divBdr>
                    <w:top w:val="none" w:sz="0" w:space="0" w:color="auto"/>
                    <w:left w:val="none" w:sz="0" w:space="0" w:color="auto"/>
                    <w:bottom w:val="none" w:sz="0" w:space="0" w:color="auto"/>
                    <w:right w:val="none" w:sz="0" w:space="0" w:color="auto"/>
                  </w:divBdr>
                  <w:divsChild>
                    <w:div w:id="1204056363">
                      <w:marLeft w:val="0"/>
                      <w:marRight w:val="0"/>
                      <w:marTop w:val="0"/>
                      <w:marBottom w:val="0"/>
                      <w:divBdr>
                        <w:top w:val="none" w:sz="0" w:space="0" w:color="auto"/>
                        <w:left w:val="none" w:sz="0" w:space="0" w:color="auto"/>
                        <w:bottom w:val="none" w:sz="0" w:space="0" w:color="auto"/>
                        <w:right w:val="none" w:sz="0" w:space="0" w:color="auto"/>
                      </w:divBdr>
                    </w:div>
                  </w:divsChild>
                </w:div>
                <w:div w:id="1272518890">
                  <w:marLeft w:val="0"/>
                  <w:marRight w:val="0"/>
                  <w:marTop w:val="0"/>
                  <w:marBottom w:val="0"/>
                  <w:divBdr>
                    <w:top w:val="none" w:sz="0" w:space="0" w:color="auto"/>
                    <w:left w:val="none" w:sz="0" w:space="0" w:color="auto"/>
                    <w:bottom w:val="none" w:sz="0" w:space="0" w:color="auto"/>
                    <w:right w:val="none" w:sz="0" w:space="0" w:color="auto"/>
                  </w:divBdr>
                  <w:divsChild>
                    <w:div w:id="2108231129">
                      <w:marLeft w:val="0"/>
                      <w:marRight w:val="0"/>
                      <w:marTop w:val="0"/>
                      <w:marBottom w:val="0"/>
                      <w:divBdr>
                        <w:top w:val="none" w:sz="0" w:space="0" w:color="auto"/>
                        <w:left w:val="none" w:sz="0" w:space="0" w:color="auto"/>
                        <w:bottom w:val="none" w:sz="0" w:space="0" w:color="auto"/>
                        <w:right w:val="none" w:sz="0" w:space="0" w:color="auto"/>
                      </w:divBdr>
                    </w:div>
                  </w:divsChild>
                </w:div>
                <w:div w:id="171726346">
                  <w:marLeft w:val="0"/>
                  <w:marRight w:val="0"/>
                  <w:marTop w:val="0"/>
                  <w:marBottom w:val="0"/>
                  <w:divBdr>
                    <w:top w:val="none" w:sz="0" w:space="0" w:color="auto"/>
                    <w:left w:val="none" w:sz="0" w:space="0" w:color="auto"/>
                    <w:bottom w:val="none" w:sz="0" w:space="0" w:color="auto"/>
                    <w:right w:val="none" w:sz="0" w:space="0" w:color="auto"/>
                  </w:divBdr>
                  <w:divsChild>
                    <w:div w:id="1291545798">
                      <w:marLeft w:val="0"/>
                      <w:marRight w:val="0"/>
                      <w:marTop w:val="0"/>
                      <w:marBottom w:val="0"/>
                      <w:divBdr>
                        <w:top w:val="none" w:sz="0" w:space="0" w:color="auto"/>
                        <w:left w:val="none" w:sz="0" w:space="0" w:color="auto"/>
                        <w:bottom w:val="none" w:sz="0" w:space="0" w:color="auto"/>
                        <w:right w:val="none" w:sz="0" w:space="0" w:color="auto"/>
                      </w:divBdr>
                    </w:div>
                  </w:divsChild>
                </w:div>
                <w:div w:id="637228739">
                  <w:marLeft w:val="0"/>
                  <w:marRight w:val="0"/>
                  <w:marTop w:val="0"/>
                  <w:marBottom w:val="0"/>
                  <w:divBdr>
                    <w:top w:val="none" w:sz="0" w:space="0" w:color="auto"/>
                    <w:left w:val="none" w:sz="0" w:space="0" w:color="auto"/>
                    <w:bottom w:val="none" w:sz="0" w:space="0" w:color="auto"/>
                    <w:right w:val="none" w:sz="0" w:space="0" w:color="auto"/>
                  </w:divBdr>
                  <w:divsChild>
                    <w:div w:id="1788036902">
                      <w:marLeft w:val="0"/>
                      <w:marRight w:val="0"/>
                      <w:marTop w:val="0"/>
                      <w:marBottom w:val="0"/>
                      <w:divBdr>
                        <w:top w:val="none" w:sz="0" w:space="0" w:color="auto"/>
                        <w:left w:val="none" w:sz="0" w:space="0" w:color="auto"/>
                        <w:bottom w:val="none" w:sz="0" w:space="0" w:color="auto"/>
                        <w:right w:val="none" w:sz="0" w:space="0" w:color="auto"/>
                      </w:divBdr>
                    </w:div>
                  </w:divsChild>
                </w:div>
                <w:div w:id="1214271740">
                  <w:marLeft w:val="0"/>
                  <w:marRight w:val="0"/>
                  <w:marTop w:val="0"/>
                  <w:marBottom w:val="0"/>
                  <w:divBdr>
                    <w:top w:val="none" w:sz="0" w:space="0" w:color="auto"/>
                    <w:left w:val="none" w:sz="0" w:space="0" w:color="auto"/>
                    <w:bottom w:val="none" w:sz="0" w:space="0" w:color="auto"/>
                    <w:right w:val="none" w:sz="0" w:space="0" w:color="auto"/>
                  </w:divBdr>
                  <w:divsChild>
                    <w:div w:id="615791922">
                      <w:marLeft w:val="0"/>
                      <w:marRight w:val="0"/>
                      <w:marTop w:val="0"/>
                      <w:marBottom w:val="0"/>
                      <w:divBdr>
                        <w:top w:val="none" w:sz="0" w:space="0" w:color="auto"/>
                        <w:left w:val="none" w:sz="0" w:space="0" w:color="auto"/>
                        <w:bottom w:val="none" w:sz="0" w:space="0" w:color="auto"/>
                        <w:right w:val="none" w:sz="0" w:space="0" w:color="auto"/>
                      </w:divBdr>
                    </w:div>
                  </w:divsChild>
                </w:div>
                <w:div w:id="866257418">
                  <w:marLeft w:val="0"/>
                  <w:marRight w:val="0"/>
                  <w:marTop w:val="0"/>
                  <w:marBottom w:val="0"/>
                  <w:divBdr>
                    <w:top w:val="none" w:sz="0" w:space="0" w:color="auto"/>
                    <w:left w:val="none" w:sz="0" w:space="0" w:color="auto"/>
                    <w:bottom w:val="none" w:sz="0" w:space="0" w:color="auto"/>
                    <w:right w:val="none" w:sz="0" w:space="0" w:color="auto"/>
                  </w:divBdr>
                  <w:divsChild>
                    <w:div w:id="2116778404">
                      <w:marLeft w:val="0"/>
                      <w:marRight w:val="0"/>
                      <w:marTop w:val="0"/>
                      <w:marBottom w:val="0"/>
                      <w:divBdr>
                        <w:top w:val="none" w:sz="0" w:space="0" w:color="auto"/>
                        <w:left w:val="none" w:sz="0" w:space="0" w:color="auto"/>
                        <w:bottom w:val="none" w:sz="0" w:space="0" w:color="auto"/>
                        <w:right w:val="none" w:sz="0" w:space="0" w:color="auto"/>
                      </w:divBdr>
                    </w:div>
                  </w:divsChild>
                </w:div>
                <w:div w:id="384648417">
                  <w:marLeft w:val="0"/>
                  <w:marRight w:val="0"/>
                  <w:marTop w:val="0"/>
                  <w:marBottom w:val="0"/>
                  <w:divBdr>
                    <w:top w:val="none" w:sz="0" w:space="0" w:color="auto"/>
                    <w:left w:val="none" w:sz="0" w:space="0" w:color="auto"/>
                    <w:bottom w:val="none" w:sz="0" w:space="0" w:color="auto"/>
                    <w:right w:val="none" w:sz="0" w:space="0" w:color="auto"/>
                  </w:divBdr>
                  <w:divsChild>
                    <w:div w:id="837577556">
                      <w:marLeft w:val="0"/>
                      <w:marRight w:val="0"/>
                      <w:marTop w:val="0"/>
                      <w:marBottom w:val="0"/>
                      <w:divBdr>
                        <w:top w:val="none" w:sz="0" w:space="0" w:color="auto"/>
                        <w:left w:val="none" w:sz="0" w:space="0" w:color="auto"/>
                        <w:bottom w:val="none" w:sz="0" w:space="0" w:color="auto"/>
                        <w:right w:val="none" w:sz="0" w:space="0" w:color="auto"/>
                      </w:divBdr>
                    </w:div>
                  </w:divsChild>
                </w:div>
                <w:div w:id="1065421095">
                  <w:marLeft w:val="0"/>
                  <w:marRight w:val="0"/>
                  <w:marTop w:val="0"/>
                  <w:marBottom w:val="0"/>
                  <w:divBdr>
                    <w:top w:val="none" w:sz="0" w:space="0" w:color="auto"/>
                    <w:left w:val="none" w:sz="0" w:space="0" w:color="auto"/>
                    <w:bottom w:val="none" w:sz="0" w:space="0" w:color="auto"/>
                    <w:right w:val="none" w:sz="0" w:space="0" w:color="auto"/>
                  </w:divBdr>
                  <w:divsChild>
                    <w:div w:id="2119719343">
                      <w:marLeft w:val="0"/>
                      <w:marRight w:val="0"/>
                      <w:marTop w:val="0"/>
                      <w:marBottom w:val="0"/>
                      <w:divBdr>
                        <w:top w:val="none" w:sz="0" w:space="0" w:color="auto"/>
                        <w:left w:val="none" w:sz="0" w:space="0" w:color="auto"/>
                        <w:bottom w:val="none" w:sz="0" w:space="0" w:color="auto"/>
                        <w:right w:val="none" w:sz="0" w:space="0" w:color="auto"/>
                      </w:divBdr>
                    </w:div>
                  </w:divsChild>
                </w:div>
                <w:div w:id="762646968">
                  <w:marLeft w:val="0"/>
                  <w:marRight w:val="0"/>
                  <w:marTop w:val="0"/>
                  <w:marBottom w:val="0"/>
                  <w:divBdr>
                    <w:top w:val="none" w:sz="0" w:space="0" w:color="auto"/>
                    <w:left w:val="none" w:sz="0" w:space="0" w:color="auto"/>
                    <w:bottom w:val="none" w:sz="0" w:space="0" w:color="auto"/>
                    <w:right w:val="none" w:sz="0" w:space="0" w:color="auto"/>
                  </w:divBdr>
                  <w:divsChild>
                    <w:div w:id="378746318">
                      <w:marLeft w:val="0"/>
                      <w:marRight w:val="0"/>
                      <w:marTop w:val="0"/>
                      <w:marBottom w:val="0"/>
                      <w:divBdr>
                        <w:top w:val="none" w:sz="0" w:space="0" w:color="auto"/>
                        <w:left w:val="none" w:sz="0" w:space="0" w:color="auto"/>
                        <w:bottom w:val="none" w:sz="0" w:space="0" w:color="auto"/>
                        <w:right w:val="none" w:sz="0" w:space="0" w:color="auto"/>
                      </w:divBdr>
                    </w:div>
                  </w:divsChild>
                </w:div>
                <w:div w:id="1312782754">
                  <w:marLeft w:val="0"/>
                  <w:marRight w:val="0"/>
                  <w:marTop w:val="0"/>
                  <w:marBottom w:val="0"/>
                  <w:divBdr>
                    <w:top w:val="none" w:sz="0" w:space="0" w:color="auto"/>
                    <w:left w:val="none" w:sz="0" w:space="0" w:color="auto"/>
                    <w:bottom w:val="none" w:sz="0" w:space="0" w:color="auto"/>
                    <w:right w:val="none" w:sz="0" w:space="0" w:color="auto"/>
                  </w:divBdr>
                  <w:divsChild>
                    <w:div w:id="1127620889">
                      <w:marLeft w:val="0"/>
                      <w:marRight w:val="0"/>
                      <w:marTop w:val="0"/>
                      <w:marBottom w:val="0"/>
                      <w:divBdr>
                        <w:top w:val="none" w:sz="0" w:space="0" w:color="auto"/>
                        <w:left w:val="none" w:sz="0" w:space="0" w:color="auto"/>
                        <w:bottom w:val="none" w:sz="0" w:space="0" w:color="auto"/>
                        <w:right w:val="none" w:sz="0" w:space="0" w:color="auto"/>
                      </w:divBdr>
                    </w:div>
                  </w:divsChild>
                </w:div>
                <w:div w:id="267615975">
                  <w:marLeft w:val="0"/>
                  <w:marRight w:val="0"/>
                  <w:marTop w:val="0"/>
                  <w:marBottom w:val="0"/>
                  <w:divBdr>
                    <w:top w:val="none" w:sz="0" w:space="0" w:color="auto"/>
                    <w:left w:val="none" w:sz="0" w:space="0" w:color="auto"/>
                    <w:bottom w:val="none" w:sz="0" w:space="0" w:color="auto"/>
                    <w:right w:val="none" w:sz="0" w:space="0" w:color="auto"/>
                  </w:divBdr>
                  <w:divsChild>
                    <w:div w:id="1738622734">
                      <w:marLeft w:val="0"/>
                      <w:marRight w:val="0"/>
                      <w:marTop w:val="0"/>
                      <w:marBottom w:val="0"/>
                      <w:divBdr>
                        <w:top w:val="none" w:sz="0" w:space="0" w:color="auto"/>
                        <w:left w:val="none" w:sz="0" w:space="0" w:color="auto"/>
                        <w:bottom w:val="none" w:sz="0" w:space="0" w:color="auto"/>
                        <w:right w:val="none" w:sz="0" w:space="0" w:color="auto"/>
                      </w:divBdr>
                    </w:div>
                  </w:divsChild>
                </w:div>
                <w:div w:id="1837646912">
                  <w:marLeft w:val="0"/>
                  <w:marRight w:val="0"/>
                  <w:marTop w:val="0"/>
                  <w:marBottom w:val="0"/>
                  <w:divBdr>
                    <w:top w:val="none" w:sz="0" w:space="0" w:color="auto"/>
                    <w:left w:val="none" w:sz="0" w:space="0" w:color="auto"/>
                    <w:bottom w:val="none" w:sz="0" w:space="0" w:color="auto"/>
                    <w:right w:val="none" w:sz="0" w:space="0" w:color="auto"/>
                  </w:divBdr>
                  <w:divsChild>
                    <w:div w:id="470635722">
                      <w:marLeft w:val="0"/>
                      <w:marRight w:val="0"/>
                      <w:marTop w:val="0"/>
                      <w:marBottom w:val="0"/>
                      <w:divBdr>
                        <w:top w:val="none" w:sz="0" w:space="0" w:color="auto"/>
                        <w:left w:val="none" w:sz="0" w:space="0" w:color="auto"/>
                        <w:bottom w:val="none" w:sz="0" w:space="0" w:color="auto"/>
                        <w:right w:val="none" w:sz="0" w:space="0" w:color="auto"/>
                      </w:divBdr>
                    </w:div>
                  </w:divsChild>
                </w:div>
                <w:div w:id="1880388068">
                  <w:marLeft w:val="0"/>
                  <w:marRight w:val="0"/>
                  <w:marTop w:val="0"/>
                  <w:marBottom w:val="0"/>
                  <w:divBdr>
                    <w:top w:val="none" w:sz="0" w:space="0" w:color="auto"/>
                    <w:left w:val="none" w:sz="0" w:space="0" w:color="auto"/>
                    <w:bottom w:val="none" w:sz="0" w:space="0" w:color="auto"/>
                    <w:right w:val="none" w:sz="0" w:space="0" w:color="auto"/>
                  </w:divBdr>
                  <w:divsChild>
                    <w:div w:id="1902593072">
                      <w:marLeft w:val="0"/>
                      <w:marRight w:val="0"/>
                      <w:marTop w:val="0"/>
                      <w:marBottom w:val="0"/>
                      <w:divBdr>
                        <w:top w:val="none" w:sz="0" w:space="0" w:color="auto"/>
                        <w:left w:val="none" w:sz="0" w:space="0" w:color="auto"/>
                        <w:bottom w:val="none" w:sz="0" w:space="0" w:color="auto"/>
                        <w:right w:val="none" w:sz="0" w:space="0" w:color="auto"/>
                      </w:divBdr>
                    </w:div>
                  </w:divsChild>
                </w:div>
                <w:div w:id="466583205">
                  <w:marLeft w:val="0"/>
                  <w:marRight w:val="0"/>
                  <w:marTop w:val="0"/>
                  <w:marBottom w:val="0"/>
                  <w:divBdr>
                    <w:top w:val="none" w:sz="0" w:space="0" w:color="auto"/>
                    <w:left w:val="none" w:sz="0" w:space="0" w:color="auto"/>
                    <w:bottom w:val="none" w:sz="0" w:space="0" w:color="auto"/>
                    <w:right w:val="none" w:sz="0" w:space="0" w:color="auto"/>
                  </w:divBdr>
                  <w:divsChild>
                    <w:div w:id="1865820260">
                      <w:marLeft w:val="0"/>
                      <w:marRight w:val="0"/>
                      <w:marTop w:val="0"/>
                      <w:marBottom w:val="0"/>
                      <w:divBdr>
                        <w:top w:val="none" w:sz="0" w:space="0" w:color="auto"/>
                        <w:left w:val="none" w:sz="0" w:space="0" w:color="auto"/>
                        <w:bottom w:val="none" w:sz="0" w:space="0" w:color="auto"/>
                        <w:right w:val="none" w:sz="0" w:space="0" w:color="auto"/>
                      </w:divBdr>
                    </w:div>
                  </w:divsChild>
                </w:div>
                <w:div w:id="785806552">
                  <w:marLeft w:val="0"/>
                  <w:marRight w:val="0"/>
                  <w:marTop w:val="0"/>
                  <w:marBottom w:val="0"/>
                  <w:divBdr>
                    <w:top w:val="none" w:sz="0" w:space="0" w:color="auto"/>
                    <w:left w:val="none" w:sz="0" w:space="0" w:color="auto"/>
                    <w:bottom w:val="none" w:sz="0" w:space="0" w:color="auto"/>
                    <w:right w:val="none" w:sz="0" w:space="0" w:color="auto"/>
                  </w:divBdr>
                  <w:divsChild>
                    <w:div w:id="1083452240">
                      <w:marLeft w:val="0"/>
                      <w:marRight w:val="0"/>
                      <w:marTop w:val="0"/>
                      <w:marBottom w:val="0"/>
                      <w:divBdr>
                        <w:top w:val="none" w:sz="0" w:space="0" w:color="auto"/>
                        <w:left w:val="none" w:sz="0" w:space="0" w:color="auto"/>
                        <w:bottom w:val="none" w:sz="0" w:space="0" w:color="auto"/>
                        <w:right w:val="none" w:sz="0" w:space="0" w:color="auto"/>
                      </w:divBdr>
                    </w:div>
                  </w:divsChild>
                </w:div>
                <w:div w:id="1831171830">
                  <w:marLeft w:val="0"/>
                  <w:marRight w:val="0"/>
                  <w:marTop w:val="0"/>
                  <w:marBottom w:val="0"/>
                  <w:divBdr>
                    <w:top w:val="none" w:sz="0" w:space="0" w:color="auto"/>
                    <w:left w:val="none" w:sz="0" w:space="0" w:color="auto"/>
                    <w:bottom w:val="none" w:sz="0" w:space="0" w:color="auto"/>
                    <w:right w:val="none" w:sz="0" w:space="0" w:color="auto"/>
                  </w:divBdr>
                  <w:divsChild>
                    <w:div w:id="855466417">
                      <w:marLeft w:val="0"/>
                      <w:marRight w:val="0"/>
                      <w:marTop w:val="0"/>
                      <w:marBottom w:val="0"/>
                      <w:divBdr>
                        <w:top w:val="none" w:sz="0" w:space="0" w:color="auto"/>
                        <w:left w:val="none" w:sz="0" w:space="0" w:color="auto"/>
                        <w:bottom w:val="none" w:sz="0" w:space="0" w:color="auto"/>
                        <w:right w:val="none" w:sz="0" w:space="0" w:color="auto"/>
                      </w:divBdr>
                    </w:div>
                  </w:divsChild>
                </w:div>
                <w:div w:id="1052339926">
                  <w:marLeft w:val="0"/>
                  <w:marRight w:val="0"/>
                  <w:marTop w:val="0"/>
                  <w:marBottom w:val="0"/>
                  <w:divBdr>
                    <w:top w:val="none" w:sz="0" w:space="0" w:color="auto"/>
                    <w:left w:val="none" w:sz="0" w:space="0" w:color="auto"/>
                    <w:bottom w:val="none" w:sz="0" w:space="0" w:color="auto"/>
                    <w:right w:val="none" w:sz="0" w:space="0" w:color="auto"/>
                  </w:divBdr>
                  <w:divsChild>
                    <w:div w:id="1705908851">
                      <w:marLeft w:val="0"/>
                      <w:marRight w:val="0"/>
                      <w:marTop w:val="0"/>
                      <w:marBottom w:val="0"/>
                      <w:divBdr>
                        <w:top w:val="none" w:sz="0" w:space="0" w:color="auto"/>
                        <w:left w:val="none" w:sz="0" w:space="0" w:color="auto"/>
                        <w:bottom w:val="none" w:sz="0" w:space="0" w:color="auto"/>
                        <w:right w:val="none" w:sz="0" w:space="0" w:color="auto"/>
                      </w:divBdr>
                    </w:div>
                  </w:divsChild>
                </w:div>
                <w:div w:id="1067800996">
                  <w:marLeft w:val="0"/>
                  <w:marRight w:val="0"/>
                  <w:marTop w:val="0"/>
                  <w:marBottom w:val="0"/>
                  <w:divBdr>
                    <w:top w:val="none" w:sz="0" w:space="0" w:color="auto"/>
                    <w:left w:val="none" w:sz="0" w:space="0" w:color="auto"/>
                    <w:bottom w:val="none" w:sz="0" w:space="0" w:color="auto"/>
                    <w:right w:val="none" w:sz="0" w:space="0" w:color="auto"/>
                  </w:divBdr>
                  <w:divsChild>
                    <w:div w:id="720061083">
                      <w:marLeft w:val="0"/>
                      <w:marRight w:val="0"/>
                      <w:marTop w:val="0"/>
                      <w:marBottom w:val="0"/>
                      <w:divBdr>
                        <w:top w:val="none" w:sz="0" w:space="0" w:color="auto"/>
                        <w:left w:val="none" w:sz="0" w:space="0" w:color="auto"/>
                        <w:bottom w:val="none" w:sz="0" w:space="0" w:color="auto"/>
                        <w:right w:val="none" w:sz="0" w:space="0" w:color="auto"/>
                      </w:divBdr>
                    </w:div>
                  </w:divsChild>
                </w:div>
                <w:div w:id="1644235759">
                  <w:marLeft w:val="0"/>
                  <w:marRight w:val="0"/>
                  <w:marTop w:val="0"/>
                  <w:marBottom w:val="0"/>
                  <w:divBdr>
                    <w:top w:val="none" w:sz="0" w:space="0" w:color="auto"/>
                    <w:left w:val="none" w:sz="0" w:space="0" w:color="auto"/>
                    <w:bottom w:val="none" w:sz="0" w:space="0" w:color="auto"/>
                    <w:right w:val="none" w:sz="0" w:space="0" w:color="auto"/>
                  </w:divBdr>
                  <w:divsChild>
                    <w:div w:id="320280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625676">
          <w:marLeft w:val="0"/>
          <w:marRight w:val="0"/>
          <w:marTop w:val="0"/>
          <w:marBottom w:val="0"/>
          <w:divBdr>
            <w:top w:val="none" w:sz="0" w:space="0" w:color="auto"/>
            <w:left w:val="none" w:sz="0" w:space="0" w:color="auto"/>
            <w:bottom w:val="none" w:sz="0" w:space="0" w:color="auto"/>
            <w:right w:val="none" w:sz="0" w:space="0" w:color="auto"/>
          </w:divBdr>
        </w:div>
        <w:div w:id="1221134572">
          <w:marLeft w:val="0"/>
          <w:marRight w:val="0"/>
          <w:marTop w:val="0"/>
          <w:marBottom w:val="0"/>
          <w:divBdr>
            <w:top w:val="none" w:sz="0" w:space="0" w:color="auto"/>
            <w:left w:val="none" w:sz="0" w:space="0" w:color="auto"/>
            <w:bottom w:val="none" w:sz="0" w:space="0" w:color="auto"/>
            <w:right w:val="none" w:sz="0" w:space="0" w:color="auto"/>
          </w:divBdr>
          <w:divsChild>
            <w:div w:id="1829009652">
              <w:marLeft w:val="-75"/>
              <w:marRight w:val="0"/>
              <w:marTop w:val="30"/>
              <w:marBottom w:val="30"/>
              <w:divBdr>
                <w:top w:val="none" w:sz="0" w:space="0" w:color="auto"/>
                <w:left w:val="none" w:sz="0" w:space="0" w:color="auto"/>
                <w:bottom w:val="none" w:sz="0" w:space="0" w:color="auto"/>
                <w:right w:val="none" w:sz="0" w:space="0" w:color="auto"/>
              </w:divBdr>
              <w:divsChild>
                <w:div w:id="398139320">
                  <w:marLeft w:val="0"/>
                  <w:marRight w:val="0"/>
                  <w:marTop w:val="0"/>
                  <w:marBottom w:val="0"/>
                  <w:divBdr>
                    <w:top w:val="none" w:sz="0" w:space="0" w:color="auto"/>
                    <w:left w:val="none" w:sz="0" w:space="0" w:color="auto"/>
                    <w:bottom w:val="none" w:sz="0" w:space="0" w:color="auto"/>
                    <w:right w:val="none" w:sz="0" w:space="0" w:color="auto"/>
                  </w:divBdr>
                  <w:divsChild>
                    <w:div w:id="1780293551">
                      <w:marLeft w:val="0"/>
                      <w:marRight w:val="0"/>
                      <w:marTop w:val="0"/>
                      <w:marBottom w:val="0"/>
                      <w:divBdr>
                        <w:top w:val="none" w:sz="0" w:space="0" w:color="auto"/>
                        <w:left w:val="none" w:sz="0" w:space="0" w:color="auto"/>
                        <w:bottom w:val="none" w:sz="0" w:space="0" w:color="auto"/>
                        <w:right w:val="none" w:sz="0" w:space="0" w:color="auto"/>
                      </w:divBdr>
                    </w:div>
                  </w:divsChild>
                </w:div>
                <w:div w:id="379788159">
                  <w:marLeft w:val="0"/>
                  <w:marRight w:val="0"/>
                  <w:marTop w:val="0"/>
                  <w:marBottom w:val="0"/>
                  <w:divBdr>
                    <w:top w:val="none" w:sz="0" w:space="0" w:color="auto"/>
                    <w:left w:val="none" w:sz="0" w:space="0" w:color="auto"/>
                    <w:bottom w:val="none" w:sz="0" w:space="0" w:color="auto"/>
                    <w:right w:val="none" w:sz="0" w:space="0" w:color="auto"/>
                  </w:divBdr>
                  <w:divsChild>
                    <w:div w:id="1831752267">
                      <w:marLeft w:val="0"/>
                      <w:marRight w:val="0"/>
                      <w:marTop w:val="0"/>
                      <w:marBottom w:val="0"/>
                      <w:divBdr>
                        <w:top w:val="none" w:sz="0" w:space="0" w:color="auto"/>
                        <w:left w:val="none" w:sz="0" w:space="0" w:color="auto"/>
                        <w:bottom w:val="none" w:sz="0" w:space="0" w:color="auto"/>
                        <w:right w:val="none" w:sz="0" w:space="0" w:color="auto"/>
                      </w:divBdr>
                    </w:div>
                  </w:divsChild>
                </w:div>
                <w:div w:id="1291210243">
                  <w:marLeft w:val="0"/>
                  <w:marRight w:val="0"/>
                  <w:marTop w:val="0"/>
                  <w:marBottom w:val="0"/>
                  <w:divBdr>
                    <w:top w:val="none" w:sz="0" w:space="0" w:color="auto"/>
                    <w:left w:val="none" w:sz="0" w:space="0" w:color="auto"/>
                    <w:bottom w:val="none" w:sz="0" w:space="0" w:color="auto"/>
                    <w:right w:val="none" w:sz="0" w:space="0" w:color="auto"/>
                  </w:divBdr>
                  <w:divsChild>
                    <w:div w:id="1757239144">
                      <w:marLeft w:val="0"/>
                      <w:marRight w:val="0"/>
                      <w:marTop w:val="0"/>
                      <w:marBottom w:val="0"/>
                      <w:divBdr>
                        <w:top w:val="none" w:sz="0" w:space="0" w:color="auto"/>
                        <w:left w:val="none" w:sz="0" w:space="0" w:color="auto"/>
                        <w:bottom w:val="none" w:sz="0" w:space="0" w:color="auto"/>
                        <w:right w:val="none" w:sz="0" w:space="0" w:color="auto"/>
                      </w:divBdr>
                    </w:div>
                  </w:divsChild>
                </w:div>
                <w:div w:id="1778478362">
                  <w:marLeft w:val="0"/>
                  <w:marRight w:val="0"/>
                  <w:marTop w:val="0"/>
                  <w:marBottom w:val="0"/>
                  <w:divBdr>
                    <w:top w:val="none" w:sz="0" w:space="0" w:color="auto"/>
                    <w:left w:val="none" w:sz="0" w:space="0" w:color="auto"/>
                    <w:bottom w:val="none" w:sz="0" w:space="0" w:color="auto"/>
                    <w:right w:val="none" w:sz="0" w:space="0" w:color="auto"/>
                  </w:divBdr>
                  <w:divsChild>
                    <w:div w:id="1492792977">
                      <w:marLeft w:val="0"/>
                      <w:marRight w:val="0"/>
                      <w:marTop w:val="0"/>
                      <w:marBottom w:val="0"/>
                      <w:divBdr>
                        <w:top w:val="none" w:sz="0" w:space="0" w:color="auto"/>
                        <w:left w:val="none" w:sz="0" w:space="0" w:color="auto"/>
                        <w:bottom w:val="none" w:sz="0" w:space="0" w:color="auto"/>
                        <w:right w:val="none" w:sz="0" w:space="0" w:color="auto"/>
                      </w:divBdr>
                    </w:div>
                  </w:divsChild>
                </w:div>
                <w:div w:id="1036732093">
                  <w:marLeft w:val="0"/>
                  <w:marRight w:val="0"/>
                  <w:marTop w:val="0"/>
                  <w:marBottom w:val="0"/>
                  <w:divBdr>
                    <w:top w:val="none" w:sz="0" w:space="0" w:color="auto"/>
                    <w:left w:val="none" w:sz="0" w:space="0" w:color="auto"/>
                    <w:bottom w:val="none" w:sz="0" w:space="0" w:color="auto"/>
                    <w:right w:val="none" w:sz="0" w:space="0" w:color="auto"/>
                  </w:divBdr>
                  <w:divsChild>
                    <w:div w:id="903685644">
                      <w:marLeft w:val="0"/>
                      <w:marRight w:val="0"/>
                      <w:marTop w:val="0"/>
                      <w:marBottom w:val="0"/>
                      <w:divBdr>
                        <w:top w:val="none" w:sz="0" w:space="0" w:color="auto"/>
                        <w:left w:val="none" w:sz="0" w:space="0" w:color="auto"/>
                        <w:bottom w:val="none" w:sz="0" w:space="0" w:color="auto"/>
                        <w:right w:val="none" w:sz="0" w:space="0" w:color="auto"/>
                      </w:divBdr>
                    </w:div>
                  </w:divsChild>
                </w:div>
                <w:div w:id="888733959">
                  <w:marLeft w:val="0"/>
                  <w:marRight w:val="0"/>
                  <w:marTop w:val="0"/>
                  <w:marBottom w:val="0"/>
                  <w:divBdr>
                    <w:top w:val="none" w:sz="0" w:space="0" w:color="auto"/>
                    <w:left w:val="none" w:sz="0" w:space="0" w:color="auto"/>
                    <w:bottom w:val="none" w:sz="0" w:space="0" w:color="auto"/>
                    <w:right w:val="none" w:sz="0" w:space="0" w:color="auto"/>
                  </w:divBdr>
                  <w:divsChild>
                    <w:div w:id="1840921395">
                      <w:marLeft w:val="0"/>
                      <w:marRight w:val="0"/>
                      <w:marTop w:val="0"/>
                      <w:marBottom w:val="0"/>
                      <w:divBdr>
                        <w:top w:val="none" w:sz="0" w:space="0" w:color="auto"/>
                        <w:left w:val="none" w:sz="0" w:space="0" w:color="auto"/>
                        <w:bottom w:val="none" w:sz="0" w:space="0" w:color="auto"/>
                        <w:right w:val="none" w:sz="0" w:space="0" w:color="auto"/>
                      </w:divBdr>
                    </w:div>
                  </w:divsChild>
                </w:div>
                <w:div w:id="771704552">
                  <w:marLeft w:val="0"/>
                  <w:marRight w:val="0"/>
                  <w:marTop w:val="0"/>
                  <w:marBottom w:val="0"/>
                  <w:divBdr>
                    <w:top w:val="none" w:sz="0" w:space="0" w:color="auto"/>
                    <w:left w:val="none" w:sz="0" w:space="0" w:color="auto"/>
                    <w:bottom w:val="none" w:sz="0" w:space="0" w:color="auto"/>
                    <w:right w:val="none" w:sz="0" w:space="0" w:color="auto"/>
                  </w:divBdr>
                  <w:divsChild>
                    <w:div w:id="1697196269">
                      <w:marLeft w:val="0"/>
                      <w:marRight w:val="0"/>
                      <w:marTop w:val="0"/>
                      <w:marBottom w:val="0"/>
                      <w:divBdr>
                        <w:top w:val="none" w:sz="0" w:space="0" w:color="auto"/>
                        <w:left w:val="none" w:sz="0" w:space="0" w:color="auto"/>
                        <w:bottom w:val="none" w:sz="0" w:space="0" w:color="auto"/>
                        <w:right w:val="none" w:sz="0" w:space="0" w:color="auto"/>
                      </w:divBdr>
                    </w:div>
                  </w:divsChild>
                </w:div>
                <w:div w:id="1334065750">
                  <w:marLeft w:val="0"/>
                  <w:marRight w:val="0"/>
                  <w:marTop w:val="0"/>
                  <w:marBottom w:val="0"/>
                  <w:divBdr>
                    <w:top w:val="none" w:sz="0" w:space="0" w:color="auto"/>
                    <w:left w:val="none" w:sz="0" w:space="0" w:color="auto"/>
                    <w:bottom w:val="none" w:sz="0" w:space="0" w:color="auto"/>
                    <w:right w:val="none" w:sz="0" w:space="0" w:color="auto"/>
                  </w:divBdr>
                  <w:divsChild>
                    <w:div w:id="1489442199">
                      <w:marLeft w:val="0"/>
                      <w:marRight w:val="0"/>
                      <w:marTop w:val="0"/>
                      <w:marBottom w:val="0"/>
                      <w:divBdr>
                        <w:top w:val="none" w:sz="0" w:space="0" w:color="auto"/>
                        <w:left w:val="none" w:sz="0" w:space="0" w:color="auto"/>
                        <w:bottom w:val="none" w:sz="0" w:space="0" w:color="auto"/>
                        <w:right w:val="none" w:sz="0" w:space="0" w:color="auto"/>
                      </w:divBdr>
                    </w:div>
                  </w:divsChild>
                </w:div>
                <w:div w:id="808204244">
                  <w:marLeft w:val="0"/>
                  <w:marRight w:val="0"/>
                  <w:marTop w:val="0"/>
                  <w:marBottom w:val="0"/>
                  <w:divBdr>
                    <w:top w:val="none" w:sz="0" w:space="0" w:color="auto"/>
                    <w:left w:val="none" w:sz="0" w:space="0" w:color="auto"/>
                    <w:bottom w:val="none" w:sz="0" w:space="0" w:color="auto"/>
                    <w:right w:val="none" w:sz="0" w:space="0" w:color="auto"/>
                  </w:divBdr>
                  <w:divsChild>
                    <w:div w:id="154420677">
                      <w:marLeft w:val="0"/>
                      <w:marRight w:val="0"/>
                      <w:marTop w:val="0"/>
                      <w:marBottom w:val="0"/>
                      <w:divBdr>
                        <w:top w:val="none" w:sz="0" w:space="0" w:color="auto"/>
                        <w:left w:val="none" w:sz="0" w:space="0" w:color="auto"/>
                        <w:bottom w:val="none" w:sz="0" w:space="0" w:color="auto"/>
                        <w:right w:val="none" w:sz="0" w:space="0" w:color="auto"/>
                      </w:divBdr>
                    </w:div>
                  </w:divsChild>
                </w:div>
                <w:div w:id="1032460946">
                  <w:marLeft w:val="0"/>
                  <w:marRight w:val="0"/>
                  <w:marTop w:val="0"/>
                  <w:marBottom w:val="0"/>
                  <w:divBdr>
                    <w:top w:val="none" w:sz="0" w:space="0" w:color="auto"/>
                    <w:left w:val="none" w:sz="0" w:space="0" w:color="auto"/>
                    <w:bottom w:val="none" w:sz="0" w:space="0" w:color="auto"/>
                    <w:right w:val="none" w:sz="0" w:space="0" w:color="auto"/>
                  </w:divBdr>
                  <w:divsChild>
                    <w:div w:id="1476753985">
                      <w:marLeft w:val="0"/>
                      <w:marRight w:val="0"/>
                      <w:marTop w:val="0"/>
                      <w:marBottom w:val="0"/>
                      <w:divBdr>
                        <w:top w:val="none" w:sz="0" w:space="0" w:color="auto"/>
                        <w:left w:val="none" w:sz="0" w:space="0" w:color="auto"/>
                        <w:bottom w:val="none" w:sz="0" w:space="0" w:color="auto"/>
                        <w:right w:val="none" w:sz="0" w:space="0" w:color="auto"/>
                      </w:divBdr>
                    </w:div>
                  </w:divsChild>
                </w:div>
                <w:div w:id="277763392">
                  <w:marLeft w:val="0"/>
                  <w:marRight w:val="0"/>
                  <w:marTop w:val="0"/>
                  <w:marBottom w:val="0"/>
                  <w:divBdr>
                    <w:top w:val="none" w:sz="0" w:space="0" w:color="auto"/>
                    <w:left w:val="none" w:sz="0" w:space="0" w:color="auto"/>
                    <w:bottom w:val="none" w:sz="0" w:space="0" w:color="auto"/>
                    <w:right w:val="none" w:sz="0" w:space="0" w:color="auto"/>
                  </w:divBdr>
                  <w:divsChild>
                    <w:div w:id="1790321754">
                      <w:marLeft w:val="0"/>
                      <w:marRight w:val="0"/>
                      <w:marTop w:val="0"/>
                      <w:marBottom w:val="0"/>
                      <w:divBdr>
                        <w:top w:val="none" w:sz="0" w:space="0" w:color="auto"/>
                        <w:left w:val="none" w:sz="0" w:space="0" w:color="auto"/>
                        <w:bottom w:val="none" w:sz="0" w:space="0" w:color="auto"/>
                        <w:right w:val="none" w:sz="0" w:space="0" w:color="auto"/>
                      </w:divBdr>
                    </w:div>
                  </w:divsChild>
                </w:div>
                <w:div w:id="1172332951">
                  <w:marLeft w:val="0"/>
                  <w:marRight w:val="0"/>
                  <w:marTop w:val="0"/>
                  <w:marBottom w:val="0"/>
                  <w:divBdr>
                    <w:top w:val="none" w:sz="0" w:space="0" w:color="auto"/>
                    <w:left w:val="none" w:sz="0" w:space="0" w:color="auto"/>
                    <w:bottom w:val="none" w:sz="0" w:space="0" w:color="auto"/>
                    <w:right w:val="none" w:sz="0" w:space="0" w:color="auto"/>
                  </w:divBdr>
                  <w:divsChild>
                    <w:div w:id="377825995">
                      <w:marLeft w:val="0"/>
                      <w:marRight w:val="0"/>
                      <w:marTop w:val="0"/>
                      <w:marBottom w:val="0"/>
                      <w:divBdr>
                        <w:top w:val="none" w:sz="0" w:space="0" w:color="auto"/>
                        <w:left w:val="none" w:sz="0" w:space="0" w:color="auto"/>
                        <w:bottom w:val="none" w:sz="0" w:space="0" w:color="auto"/>
                        <w:right w:val="none" w:sz="0" w:space="0" w:color="auto"/>
                      </w:divBdr>
                    </w:div>
                  </w:divsChild>
                </w:div>
                <w:div w:id="339048569">
                  <w:marLeft w:val="0"/>
                  <w:marRight w:val="0"/>
                  <w:marTop w:val="0"/>
                  <w:marBottom w:val="0"/>
                  <w:divBdr>
                    <w:top w:val="none" w:sz="0" w:space="0" w:color="auto"/>
                    <w:left w:val="none" w:sz="0" w:space="0" w:color="auto"/>
                    <w:bottom w:val="none" w:sz="0" w:space="0" w:color="auto"/>
                    <w:right w:val="none" w:sz="0" w:space="0" w:color="auto"/>
                  </w:divBdr>
                  <w:divsChild>
                    <w:div w:id="1967467804">
                      <w:marLeft w:val="0"/>
                      <w:marRight w:val="0"/>
                      <w:marTop w:val="0"/>
                      <w:marBottom w:val="0"/>
                      <w:divBdr>
                        <w:top w:val="none" w:sz="0" w:space="0" w:color="auto"/>
                        <w:left w:val="none" w:sz="0" w:space="0" w:color="auto"/>
                        <w:bottom w:val="none" w:sz="0" w:space="0" w:color="auto"/>
                        <w:right w:val="none" w:sz="0" w:space="0" w:color="auto"/>
                      </w:divBdr>
                    </w:div>
                  </w:divsChild>
                </w:div>
                <w:div w:id="1224874898">
                  <w:marLeft w:val="0"/>
                  <w:marRight w:val="0"/>
                  <w:marTop w:val="0"/>
                  <w:marBottom w:val="0"/>
                  <w:divBdr>
                    <w:top w:val="none" w:sz="0" w:space="0" w:color="auto"/>
                    <w:left w:val="none" w:sz="0" w:space="0" w:color="auto"/>
                    <w:bottom w:val="none" w:sz="0" w:space="0" w:color="auto"/>
                    <w:right w:val="none" w:sz="0" w:space="0" w:color="auto"/>
                  </w:divBdr>
                  <w:divsChild>
                    <w:div w:id="1648824743">
                      <w:marLeft w:val="0"/>
                      <w:marRight w:val="0"/>
                      <w:marTop w:val="0"/>
                      <w:marBottom w:val="0"/>
                      <w:divBdr>
                        <w:top w:val="none" w:sz="0" w:space="0" w:color="auto"/>
                        <w:left w:val="none" w:sz="0" w:space="0" w:color="auto"/>
                        <w:bottom w:val="none" w:sz="0" w:space="0" w:color="auto"/>
                        <w:right w:val="none" w:sz="0" w:space="0" w:color="auto"/>
                      </w:divBdr>
                    </w:div>
                  </w:divsChild>
                </w:div>
                <w:div w:id="839545399">
                  <w:marLeft w:val="0"/>
                  <w:marRight w:val="0"/>
                  <w:marTop w:val="0"/>
                  <w:marBottom w:val="0"/>
                  <w:divBdr>
                    <w:top w:val="none" w:sz="0" w:space="0" w:color="auto"/>
                    <w:left w:val="none" w:sz="0" w:space="0" w:color="auto"/>
                    <w:bottom w:val="none" w:sz="0" w:space="0" w:color="auto"/>
                    <w:right w:val="none" w:sz="0" w:space="0" w:color="auto"/>
                  </w:divBdr>
                  <w:divsChild>
                    <w:div w:id="1284073731">
                      <w:marLeft w:val="0"/>
                      <w:marRight w:val="0"/>
                      <w:marTop w:val="0"/>
                      <w:marBottom w:val="0"/>
                      <w:divBdr>
                        <w:top w:val="none" w:sz="0" w:space="0" w:color="auto"/>
                        <w:left w:val="none" w:sz="0" w:space="0" w:color="auto"/>
                        <w:bottom w:val="none" w:sz="0" w:space="0" w:color="auto"/>
                        <w:right w:val="none" w:sz="0" w:space="0" w:color="auto"/>
                      </w:divBdr>
                    </w:div>
                  </w:divsChild>
                </w:div>
                <w:div w:id="322634035">
                  <w:marLeft w:val="0"/>
                  <w:marRight w:val="0"/>
                  <w:marTop w:val="0"/>
                  <w:marBottom w:val="0"/>
                  <w:divBdr>
                    <w:top w:val="none" w:sz="0" w:space="0" w:color="auto"/>
                    <w:left w:val="none" w:sz="0" w:space="0" w:color="auto"/>
                    <w:bottom w:val="none" w:sz="0" w:space="0" w:color="auto"/>
                    <w:right w:val="none" w:sz="0" w:space="0" w:color="auto"/>
                  </w:divBdr>
                  <w:divsChild>
                    <w:div w:id="1073089861">
                      <w:marLeft w:val="0"/>
                      <w:marRight w:val="0"/>
                      <w:marTop w:val="0"/>
                      <w:marBottom w:val="0"/>
                      <w:divBdr>
                        <w:top w:val="none" w:sz="0" w:space="0" w:color="auto"/>
                        <w:left w:val="none" w:sz="0" w:space="0" w:color="auto"/>
                        <w:bottom w:val="none" w:sz="0" w:space="0" w:color="auto"/>
                        <w:right w:val="none" w:sz="0" w:space="0" w:color="auto"/>
                      </w:divBdr>
                    </w:div>
                  </w:divsChild>
                </w:div>
                <w:div w:id="1593052105">
                  <w:marLeft w:val="0"/>
                  <w:marRight w:val="0"/>
                  <w:marTop w:val="0"/>
                  <w:marBottom w:val="0"/>
                  <w:divBdr>
                    <w:top w:val="none" w:sz="0" w:space="0" w:color="auto"/>
                    <w:left w:val="none" w:sz="0" w:space="0" w:color="auto"/>
                    <w:bottom w:val="none" w:sz="0" w:space="0" w:color="auto"/>
                    <w:right w:val="none" w:sz="0" w:space="0" w:color="auto"/>
                  </w:divBdr>
                  <w:divsChild>
                    <w:div w:id="101343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7920186">
          <w:marLeft w:val="0"/>
          <w:marRight w:val="0"/>
          <w:marTop w:val="0"/>
          <w:marBottom w:val="0"/>
          <w:divBdr>
            <w:top w:val="none" w:sz="0" w:space="0" w:color="auto"/>
            <w:left w:val="none" w:sz="0" w:space="0" w:color="auto"/>
            <w:bottom w:val="none" w:sz="0" w:space="0" w:color="auto"/>
            <w:right w:val="none" w:sz="0" w:space="0" w:color="auto"/>
          </w:divBdr>
        </w:div>
        <w:div w:id="10686544">
          <w:marLeft w:val="0"/>
          <w:marRight w:val="0"/>
          <w:marTop w:val="0"/>
          <w:marBottom w:val="0"/>
          <w:divBdr>
            <w:top w:val="none" w:sz="0" w:space="0" w:color="auto"/>
            <w:left w:val="none" w:sz="0" w:space="0" w:color="auto"/>
            <w:bottom w:val="none" w:sz="0" w:space="0" w:color="auto"/>
            <w:right w:val="none" w:sz="0" w:space="0" w:color="auto"/>
          </w:divBdr>
          <w:divsChild>
            <w:div w:id="981302064">
              <w:marLeft w:val="-75"/>
              <w:marRight w:val="0"/>
              <w:marTop w:val="30"/>
              <w:marBottom w:val="30"/>
              <w:divBdr>
                <w:top w:val="none" w:sz="0" w:space="0" w:color="auto"/>
                <w:left w:val="none" w:sz="0" w:space="0" w:color="auto"/>
                <w:bottom w:val="none" w:sz="0" w:space="0" w:color="auto"/>
                <w:right w:val="none" w:sz="0" w:space="0" w:color="auto"/>
              </w:divBdr>
              <w:divsChild>
                <w:div w:id="487479427">
                  <w:marLeft w:val="0"/>
                  <w:marRight w:val="0"/>
                  <w:marTop w:val="0"/>
                  <w:marBottom w:val="0"/>
                  <w:divBdr>
                    <w:top w:val="none" w:sz="0" w:space="0" w:color="auto"/>
                    <w:left w:val="none" w:sz="0" w:space="0" w:color="auto"/>
                    <w:bottom w:val="none" w:sz="0" w:space="0" w:color="auto"/>
                    <w:right w:val="none" w:sz="0" w:space="0" w:color="auto"/>
                  </w:divBdr>
                  <w:divsChild>
                    <w:div w:id="1027026217">
                      <w:marLeft w:val="0"/>
                      <w:marRight w:val="0"/>
                      <w:marTop w:val="0"/>
                      <w:marBottom w:val="0"/>
                      <w:divBdr>
                        <w:top w:val="none" w:sz="0" w:space="0" w:color="auto"/>
                        <w:left w:val="none" w:sz="0" w:space="0" w:color="auto"/>
                        <w:bottom w:val="none" w:sz="0" w:space="0" w:color="auto"/>
                        <w:right w:val="none" w:sz="0" w:space="0" w:color="auto"/>
                      </w:divBdr>
                    </w:div>
                  </w:divsChild>
                </w:div>
                <w:div w:id="722753679">
                  <w:marLeft w:val="0"/>
                  <w:marRight w:val="0"/>
                  <w:marTop w:val="0"/>
                  <w:marBottom w:val="0"/>
                  <w:divBdr>
                    <w:top w:val="none" w:sz="0" w:space="0" w:color="auto"/>
                    <w:left w:val="none" w:sz="0" w:space="0" w:color="auto"/>
                    <w:bottom w:val="none" w:sz="0" w:space="0" w:color="auto"/>
                    <w:right w:val="none" w:sz="0" w:space="0" w:color="auto"/>
                  </w:divBdr>
                  <w:divsChild>
                    <w:div w:id="1049918097">
                      <w:marLeft w:val="0"/>
                      <w:marRight w:val="0"/>
                      <w:marTop w:val="0"/>
                      <w:marBottom w:val="0"/>
                      <w:divBdr>
                        <w:top w:val="none" w:sz="0" w:space="0" w:color="auto"/>
                        <w:left w:val="none" w:sz="0" w:space="0" w:color="auto"/>
                        <w:bottom w:val="none" w:sz="0" w:space="0" w:color="auto"/>
                        <w:right w:val="none" w:sz="0" w:space="0" w:color="auto"/>
                      </w:divBdr>
                    </w:div>
                  </w:divsChild>
                </w:div>
                <w:div w:id="308436317">
                  <w:marLeft w:val="0"/>
                  <w:marRight w:val="0"/>
                  <w:marTop w:val="0"/>
                  <w:marBottom w:val="0"/>
                  <w:divBdr>
                    <w:top w:val="none" w:sz="0" w:space="0" w:color="auto"/>
                    <w:left w:val="none" w:sz="0" w:space="0" w:color="auto"/>
                    <w:bottom w:val="none" w:sz="0" w:space="0" w:color="auto"/>
                    <w:right w:val="none" w:sz="0" w:space="0" w:color="auto"/>
                  </w:divBdr>
                  <w:divsChild>
                    <w:div w:id="292753850">
                      <w:marLeft w:val="0"/>
                      <w:marRight w:val="0"/>
                      <w:marTop w:val="0"/>
                      <w:marBottom w:val="0"/>
                      <w:divBdr>
                        <w:top w:val="none" w:sz="0" w:space="0" w:color="auto"/>
                        <w:left w:val="none" w:sz="0" w:space="0" w:color="auto"/>
                        <w:bottom w:val="none" w:sz="0" w:space="0" w:color="auto"/>
                        <w:right w:val="none" w:sz="0" w:space="0" w:color="auto"/>
                      </w:divBdr>
                    </w:div>
                  </w:divsChild>
                </w:div>
                <w:div w:id="2104572420">
                  <w:marLeft w:val="0"/>
                  <w:marRight w:val="0"/>
                  <w:marTop w:val="0"/>
                  <w:marBottom w:val="0"/>
                  <w:divBdr>
                    <w:top w:val="none" w:sz="0" w:space="0" w:color="auto"/>
                    <w:left w:val="none" w:sz="0" w:space="0" w:color="auto"/>
                    <w:bottom w:val="none" w:sz="0" w:space="0" w:color="auto"/>
                    <w:right w:val="none" w:sz="0" w:space="0" w:color="auto"/>
                  </w:divBdr>
                  <w:divsChild>
                    <w:div w:id="1298686152">
                      <w:marLeft w:val="0"/>
                      <w:marRight w:val="0"/>
                      <w:marTop w:val="0"/>
                      <w:marBottom w:val="0"/>
                      <w:divBdr>
                        <w:top w:val="none" w:sz="0" w:space="0" w:color="auto"/>
                        <w:left w:val="none" w:sz="0" w:space="0" w:color="auto"/>
                        <w:bottom w:val="none" w:sz="0" w:space="0" w:color="auto"/>
                        <w:right w:val="none" w:sz="0" w:space="0" w:color="auto"/>
                      </w:divBdr>
                    </w:div>
                  </w:divsChild>
                </w:div>
                <w:div w:id="1949123717">
                  <w:marLeft w:val="0"/>
                  <w:marRight w:val="0"/>
                  <w:marTop w:val="0"/>
                  <w:marBottom w:val="0"/>
                  <w:divBdr>
                    <w:top w:val="none" w:sz="0" w:space="0" w:color="auto"/>
                    <w:left w:val="none" w:sz="0" w:space="0" w:color="auto"/>
                    <w:bottom w:val="none" w:sz="0" w:space="0" w:color="auto"/>
                    <w:right w:val="none" w:sz="0" w:space="0" w:color="auto"/>
                  </w:divBdr>
                  <w:divsChild>
                    <w:div w:id="1258170337">
                      <w:marLeft w:val="0"/>
                      <w:marRight w:val="0"/>
                      <w:marTop w:val="0"/>
                      <w:marBottom w:val="0"/>
                      <w:divBdr>
                        <w:top w:val="none" w:sz="0" w:space="0" w:color="auto"/>
                        <w:left w:val="none" w:sz="0" w:space="0" w:color="auto"/>
                        <w:bottom w:val="none" w:sz="0" w:space="0" w:color="auto"/>
                        <w:right w:val="none" w:sz="0" w:space="0" w:color="auto"/>
                      </w:divBdr>
                    </w:div>
                  </w:divsChild>
                </w:div>
                <w:div w:id="815150706">
                  <w:marLeft w:val="0"/>
                  <w:marRight w:val="0"/>
                  <w:marTop w:val="0"/>
                  <w:marBottom w:val="0"/>
                  <w:divBdr>
                    <w:top w:val="none" w:sz="0" w:space="0" w:color="auto"/>
                    <w:left w:val="none" w:sz="0" w:space="0" w:color="auto"/>
                    <w:bottom w:val="none" w:sz="0" w:space="0" w:color="auto"/>
                    <w:right w:val="none" w:sz="0" w:space="0" w:color="auto"/>
                  </w:divBdr>
                  <w:divsChild>
                    <w:div w:id="1246762317">
                      <w:marLeft w:val="0"/>
                      <w:marRight w:val="0"/>
                      <w:marTop w:val="0"/>
                      <w:marBottom w:val="0"/>
                      <w:divBdr>
                        <w:top w:val="none" w:sz="0" w:space="0" w:color="auto"/>
                        <w:left w:val="none" w:sz="0" w:space="0" w:color="auto"/>
                        <w:bottom w:val="none" w:sz="0" w:space="0" w:color="auto"/>
                        <w:right w:val="none" w:sz="0" w:space="0" w:color="auto"/>
                      </w:divBdr>
                    </w:div>
                  </w:divsChild>
                </w:div>
                <w:div w:id="1657609473">
                  <w:marLeft w:val="0"/>
                  <w:marRight w:val="0"/>
                  <w:marTop w:val="0"/>
                  <w:marBottom w:val="0"/>
                  <w:divBdr>
                    <w:top w:val="none" w:sz="0" w:space="0" w:color="auto"/>
                    <w:left w:val="none" w:sz="0" w:space="0" w:color="auto"/>
                    <w:bottom w:val="none" w:sz="0" w:space="0" w:color="auto"/>
                    <w:right w:val="none" w:sz="0" w:space="0" w:color="auto"/>
                  </w:divBdr>
                  <w:divsChild>
                    <w:div w:id="1589851179">
                      <w:marLeft w:val="0"/>
                      <w:marRight w:val="0"/>
                      <w:marTop w:val="0"/>
                      <w:marBottom w:val="0"/>
                      <w:divBdr>
                        <w:top w:val="none" w:sz="0" w:space="0" w:color="auto"/>
                        <w:left w:val="none" w:sz="0" w:space="0" w:color="auto"/>
                        <w:bottom w:val="none" w:sz="0" w:space="0" w:color="auto"/>
                        <w:right w:val="none" w:sz="0" w:space="0" w:color="auto"/>
                      </w:divBdr>
                    </w:div>
                  </w:divsChild>
                </w:div>
                <w:div w:id="416054205">
                  <w:marLeft w:val="0"/>
                  <w:marRight w:val="0"/>
                  <w:marTop w:val="0"/>
                  <w:marBottom w:val="0"/>
                  <w:divBdr>
                    <w:top w:val="none" w:sz="0" w:space="0" w:color="auto"/>
                    <w:left w:val="none" w:sz="0" w:space="0" w:color="auto"/>
                    <w:bottom w:val="none" w:sz="0" w:space="0" w:color="auto"/>
                    <w:right w:val="none" w:sz="0" w:space="0" w:color="auto"/>
                  </w:divBdr>
                  <w:divsChild>
                    <w:div w:id="1078526970">
                      <w:marLeft w:val="0"/>
                      <w:marRight w:val="0"/>
                      <w:marTop w:val="0"/>
                      <w:marBottom w:val="0"/>
                      <w:divBdr>
                        <w:top w:val="none" w:sz="0" w:space="0" w:color="auto"/>
                        <w:left w:val="none" w:sz="0" w:space="0" w:color="auto"/>
                        <w:bottom w:val="none" w:sz="0" w:space="0" w:color="auto"/>
                        <w:right w:val="none" w:sz="0" w:space="0" w:color="auto"/>
                      </w:divBdr>
                    </w:div>
                  </w:divsChild>
                </w:div>
                <w:div w:id="706953742">
                  <w:marLeft w:val="0"/>
                  <w:marRight w:val="0"/>
                  <w:marTop w:val="0"/>
                  <w:marBottom w:val="0"/>
                  <w:divBdr>
                    <w:top w:val="none" w:sz="0" w:space="0" w:color="auto"/>
                    <w:left w:val="none" w:sz="0" w:space="0" w:color="auto"/>
                    <w:bottom w:val="none" w:sz="0" w:space="0" w:color="auto"/>
                    <w:right w:val="none" w:sz="0" w:space="0" w:color="auto"/>
                  </w:divBdr>
                  <w:divsChild>
                    <w:div w:id="1007907515">
                      <w:marLeft w:val="0"/>
                      <w:marRight w:val="0"/>
                      <w:marTop w:val="0"/>
                      <w:marBottom w:val="0"/>
                      <w:divBdr>
                        <w:top w:val="none" w:sz="0" w:space="0" w:color="auto"/>
                        <w:left w:val="none" w:sz="0" w:space="0" w:color="auto"/>
                        <w:bottom w:val="none" w:sz="0" w:space="0" w:color="auto"/>
                        <w:right w:val="none" w:sz="0" w:space="0" w:color="auto"/>
                      </w:divBdr>
                    </w:div>
                  </w:divsChild>
                </w:div>
                <w:div w:id="429280431">
                  <w:marLeft w:val="0"/>
                  <w:marRight w:val="0"/>
                  <w:marTop w:val="0"/>
                  <w:marBottom w:val="0"/>
                  <w:divBdr>
                    <w:top w:val="none" w:sz="0" w:space="0" w:color="auto"/>
                    <w:left w:val="none" w:sz="0" w:space="0" w:color="auto"/>
                    <w:bottom w:val="none" w:sz="0" w:space="0" w:color="auto"/>
                    <w:right w:val="none" w:sz="0" w:space="0" w:color="auto"/>
                  </w:divBdr>
                  <w:divsChild>
                    <w:div w:id="583027424">
                      <w:marLeft w:val="0"/>
                      <w:marRight w:val="0"/>
                      <w:marTop w:val="0"/>
                      <w:marBottom w:val="0"/>
                      <w:divBdr>
                        <w:top w:val="none" w:sz="0" w:space="0" w:color="auto"/>
                        <w:left w:val="none" w:sz="0" w:space="0" w:color="auto"/>
                        <w:bottom w:val="none" w:sz="0" w:space="0" w:color="auto"/>
                        <w:right w:val="none" w:sz="0" w:space="0" w:color="auto"/>
                      </w:divBdr>
                    </w:div>
                  </w:divsChild>
                </w:div>
                <w:div w:id="445195660">
                  <w:marLeft w:val="0"/>
                  <w:marRight w:val="0"/>
                  <w:marTop w:val="0"/>
                  <w:marBottom w:val="0"/>
                  <w:divBdr>
                    <w:top w:val="none" w:sz="0" w:space="0" w:color="auto"/>
                    <w:left w:val="none" w:sz="0" w:space="0" w:color="auto"/>
                    <w:bottom w:val="none" w:sz="0" w:space="0" w:color="auto"/>
                    <w:right w:val="none" w:sz="0" w:space="0" w:color="auto"/>
                  </w:divBdr>
                  <w:divsChild>
                    <w:div w:id="1749964793">
                      <w:marLeft w:val="0"/>
                      <w:marRight w:val="0"/>
                      <w:marTop w:val="0"/>
                      <w:marBottom w:val="0"/>
                      <w:divBdr>
                        <w:top w:val="none" w:sz="0" w:space="0" w:color="auto"/>
                        <w:left w:val="none" w:sz="0" w:space="0" w:color="auto"/>
                        <w:bottom w:val="none" w:sz="0" w:space="0" w:color="auto"/>
                        <w:right w:val="none" w:sz="0" w:space="0" w:color="auto"/>
                      </w:divBdr>
                    </w:div>
                  </w:divsChild>
                </w:div>
                <w:div w:id="358238781">
                  <w:marLeft w:val="0"/>
                  <w:marRight w:val="0"/>
                  <w:marTop w:val="0"/>
                  <w:marBottom w:val="0"/>
                  <w:divBdr>
                    <w:top w:val="none" w:sz="0" w:space="0" w:color="auto"/>
                    <w:left w:val="none" w:sz="0" w:space="0" w:color="auto"/>
                    <w:bottom w:val="none" w:sz="0" w:space="0" w:color="auto"/>
                    <w:right w:val="none" w:sz="0" w:space="0" w:color="auto"/>
                  </w:divBdr>
                  <w:divsChild>
                    <w:div w:id="152837583">
                      <w:marLeft w:val="0"/>
                      <w:marRight w:val="0"/>
                      <w:marTop w:val="0"/>
                      <w:marBottom w:val="0"/>
                      <w:divBdr>
                        <w:top w:val="none" w:sz="0" w:space="0" w:color="auto"/>
                        <w:left w:val="none" w:sz="0" w:space="0" w:color="auto"/>
                        <w:bottom w:val="none" w:sz="0" w:space="0" w:color="auto"/>
                        <w:right w:val="none" w:sz="0" w:space="0" w:color="auto"/>
                      </w:divBdr>
                    </w:div>
                  </w:divsChild>
                </w:div>
                <w:div w:id="958294876">
                  <w:marLeft w:val="0"/>
                  <w:marRight w:val="0"/>
                  <w:marTop w:val="0"/>
                  <w:marBottom w:val="0"/>
                  <w:divBdr>
                    <w:top w:val="none" w:sz="0" w:space="0" w:color="auto"/>
                    <w:left w:val="none" w:sz="0" w:space="0" w:color="auto"/>
                    <w:bottom w:val="none" w:sz="0" w:space="0" w:color="auto"/>
                    <w:right w:val="none" w:sz="0" w:space="0" w:color="auto"/>
                  </w:divBdr>
                  <w:divsChild>
                    <w:div w:id="506331708">
                      <w:marLeft w:val="0"/>
                      <w:marRight w:val="0"/>
                      <w:marTop w:val="0"/>
                      <w:marBottom w:val="0"/>
                      <w:divBdr>
                        <w:top w:val="none" w:sz="0" w:space="0" w:color="auto"/>
                        <w:left w:val="none" w:sz="0" w:space="0" w:color="auto"/>
                        <w:bottom w:val="none" w:sz="0" w:space="0" w:color="auto"/>
                        <w:right w:val="none" w:sz="0" w:space="0" w:color="auto"/>
                      </w:divBdr>
                    </w:div>
                  </w:divsChild>
                </w:div>
                <w:div w:id="1224102426">
                  <w:marLeft w:val="0"/>
                  <w:marRight w:val="0"/>
                  <w:marTop w:val="0"/>
                  <w:marBottom w:val="0"/>
                  <w:divBdr>
                    <w:top w:val="none" w:sz="0" w:space="0" w:color="auto"/>
                    <w:left w:val="none" w:sz="0" w:space="0" w:color="auto"/>
                    <w:bottom w:val="none" w:sz="0" w:space="0" w:color="auto"/>
                    <w:right w:val="none" w:sz="0" w:space="0" w:color="auto"/>
                  </w:divBdr>
                  <w:divsChild>
                    <w:div w:id="1029531193">
                      <w:marLeft w:val="0"/>
                      <w:marRight w:val="0"/>
                      <w:marTop w:val="0"/>
                      <w:marBottom w:val="0"/>
                      <w:divBdr>
                        <w:top w:val="none" w:sz="0" w:space="0" w:color="auto"/>
                        <w:left w:val="none" w:sz="0" w:space="0" w:color="auto"/>
                        <w:bottom w:val="none" w:sz="0" w:space="0" w:color="auto"/>
                        <w:right w:val="none" w:sz="0" w:space="0" w:color="auto"/>
                      </w:divBdr>
                    </w:div>
                  </w:divsChild>
                </w:div>
                <w:div w:id="1112937659">
                  <w:marLeft w:val="0"/>
                  <w:marRight w:val="0"/>
                  <w:marTop w:val="0"/>
                  <w:marBottom w:val="0"/>
                  <w:divBdr>
                    <w:top w:val="none" w:sz="0" w:space="0" w:color="auto"/>
                    <w:left w:val="none" w:sz="0" w:space="0" w:color="auto"/>
                    <w:bottom w:val="none" w:sz="0" w:space="0" w:color="auto"/>
                    <w:right w:val="none" w:sz="0" w:space="0" w:color="auto"/>
                  </w:divBdr>
                  <w:divsChild>
                    <w:div w:id="1603689186">
                      <w:marLeft w:val="0"/>
                      <w:marRight w:val="0"/>
                      <w:marTop w:val="0"/>
                      <w:marBottom w:val="0"/>
                      <w:divBdr>
                        <w:top w:val="none" w:sz="0" w:space="0" w:color="auto"/>
                        <w:left w:val="none" w:sz="0" w:space="0" w:color="auto"/>
                        <w:bottom w:val="none" w:sz="0" w:space="0" w:color="auto"/>
                        <w:right w:val="none" w:sz="0" w:space="0" w:color="auto"/>
                      </w:divBdr>
                    </w:div>
                  </w:divsChild>
                </w:div>
                <w:div w:id="2040160694">
                  <w:marLeft w:val="0"/>
                  <w:marRight w:val="0"/>
                  <w:marTop w:val="0"/>
                  <w:marBottom w:val="0"/>
                  <w:divBdr>
                    <w:top w:val="none" w:sz="0" w:space="0" w:color="auto"/>
                    <w:left w:val="none" w:sz="0" w:space="0" w:color="auto"/>
                    <w:bottom w:val="none" w:sz="0" w:space="0" w:color="auto"/>
                    <w:right w:val="none" w:sz="0" w:space="0" w:color="auto"/>
                  </w:divBdr>
                  <w:divsChild>
                    <w:div w:id="1646736220">
                      <w:marLeft w:val="0"/>
                      <w:marRight w:val="0"/>
                      <w:marTop w:val="0"/>
                      <w:marBottom w:val="0"/>
                      <w:divBdr>
                        <w:top w:val="none" w:sz="0" w:space="0" w:color="auto"/>
                        <w:left w:val="none" w:sz="0" w:space="0" w:color="auto"/>
                        <w:bottom w:val="none" w:sz="0" w:space="0" w:color="auto"/>
                        <w:right w:val="none" w:sz="0" w:space="0" w:color="auto"/>
                      </w:divBdr>
                    </w:div>
                  </w:divsChild>
                </w:div>
                <w:div w:id="1423649313">
                  <w:marLeft w:val="0"/>
                  <w:marRight w:val="0"/>
                  <w:marTop w:val="0"/>
                  <w:marBottom w:val="0"/>
                  <w:divBdr>
                    <w:top w:val="none" w:sz="0" w:space="0" w:color="auto"/>
                    <w:left w:val="none" w:sz="0" w:space="0" w:color="auto"/>
                    <w:bottom w:val="none" w:sz="0" w:space="0" w:color="auto"/>
                    <w:right w:val="none" w:sz="0" w:space="0" w:color="auto"/>
                  </w:divBdr>
                  <w:divsChild>
                    <w:div w:id="3685349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3054441">
          <w:marLeft w:val="0"/>
          <w:marRight w:val="0"/>
          <w:marTop w:val="0"/>
          <w:marBottom w:val="0"/>
          <w:divBdr>
            <w:top w:val="none" w:sz="0" w:space="0" w:color="auto"/>
            <w:left w:val="none" w:sz="0" w:space="0" w:color="auto"/>
            <w:bottom w:val="none" w:sz="0" w:space="0" w:color="auto"/>
            <w:right w:val="none" w:sz="0" w:space="0" w:color="auto"/>
          </w:divBdr>
        </w:div>
        <w:div w:id="1274896588">
          <w:marLeft w:val="0"/>
          <w:marRight w:val="0"/>
          <w:marTop w:val="0"/>
          <w:marBottom w:val="0"/>
          <w:divBdr>
            <w:top w:val="none" w:sz="0" w:space="0" w:color="auto"/>
            <w:left w:val="none" w:sz="0" w:space="0" w:color="auto"/>
            <w:bottom w:val="none" w:sz="0" w:space="0" w:color="auto"/>
            <w:right w:val="none" w:sz="0" w:space="0" w:color="auto"/>
          </w:divBdr>
        </w:div>
        <w:div w:id="448861226">
          <w:marLeft w:val="0"/>
          <w:marRight w:val="0"/>
          <w:marTop w:val="0"/>
          <w:marBottom w:val="0"/>
          <w:divBdr>
            <w:top w:val="none" w:sz="0" w:space="0" w:color="auto"/>
            <w:left w:val="none" w:sz="0" w:space="0" w:color="auto"/>
            <w:bottom w:val="none" w:sz="0" w:space="0" w:color="auto"/>
            <w:right w:val="none" w:sz="0" w:space="0" w:color="auto"/>
          </w:divBdr>
        </w:div>
        <w:div w:id="115565261">
          <w:marLeft w:val="0"/>
          <w:marRight w:val="0"/>
          <w:marTop w:val="0"/>
          <w:marBottom w:val="0"/>
          <w:divBdr>
            <w:top w:val="none" w:sz="0" w:space="0" w:color="auto"/>
            <w:left w:val="none" w:sz="0" w:space="0" w:color="auto"/>
            <w:bottom w:val="none" w:sz="0" w:space="0" w:color="auto"/>
            <w:right w:val="none" w:sz="0" w:space="0" w:color="auto"/>
          </w:divBdr>
          <w:divsChild>
            <w:div w:id="503521252">
              <w:marLeft w:val="-75"/>
              <w:marRight w:val="0"/>
              <w:marTop w:val="30"/>
              <w:marBottom w:val="30"/>
              <w:divBdr>
                <w:top w:val="none" w:sz="0" w:space="0" w:color="auto"/>
                <w:left w:val="none" w:sz="0" w:space="0" w:color="auto"/>
                <w:bottom w:val="none" w:sz="0" w:space="0" w:color="auto"/>
                <w:right w:val="none" w:sz="0" w:space="0" w:color="auto"/>
              </w:divBdr>
              <w:divsChild>
                <w:div w:id="1094865525">
                  <w:marLeft w:val="0"/>
                  <w:marRight w:val="0"/>
                  <w:marTop w:val="0"/>
                  <w:marBottom w:val="0"/>
                  <w:divBdr>
                    <w:top w:val="none" w:sz="0" w:space="0" w:color="auto"/>
                    <w:left w:val="none" w:sz="0" w:space="0" w:color="auto"/>
                    <w:bottom w:val="none" w:sz="0" w:space="0" w:color="auto"/>
                    <w:right w:val="none" w:sz="0" w:space="0" w:color="auto"/>
                  </w:divBdr>
                  <w:divsChild>
                    <w:div w:id="426274269">
                      <w:marLeft w:val="0"/>
                      <w:marRight w:val="0"/>
                      <w:marTop w:val="0"/>
                      <w:marBottom w:val="0"/>
                      <w:divBdr>
                        <w:top w:val="none" w:sz="0" w:space="0" w:color="auto"/>
                        <w:left w:val="none" w:sz="0" w:space="0" w:color="auto"/>
                        <w:bottom w:val="none" w:sz="0" w:space="0" w:color="auto"/>
                        <w:right w:val="none" w:sz="0" w:space="0" w:color="auto"/>
                      </w:divBdr>
                    </w:div>
                    <w:div w:id="1747219339">
                      <w:marLeft w:val="0"/>
                      <w:marRight w:val="0"/>
                      <w:marTop w:val="0"/>
                      <w:marBottom w:val="0"/>
                      <w:divBdr>
                        <w:top w:val="none" w:sz="0" w:space="0" w:color="auto"/>
                        <w:left w:val="none" w:sz="0" w:space="0" w:color="auto"/>
                        <w:bottom w:val="none" w:sz="0" w:space="0" w:color="auto"/>
                        <w:right w:val="none" w:sz="0" w:space="0" w:color="auto"/>
                      </w:divBdr>
                    </w:div>
                  </w:divsChild>
                </w:div>
                <w:div w:id="191653512">
                  <w:marLeft w:val="0"/>
                  <w:marRight w:val="0"/>
                  <w:marTop w:val="0"/>
                  <w:marBottom w:val="0"/>
                  <w:divBdr>
                    <w:top w:val="none" w:sz="0" w:space="0" w:color="auto"/>
                    <w:left w:val="none" w:sz="0" w:space="0" w:color="auto"/>
                    <w:bottom w:val="none" w:sz="0" w:space="0" w:color="auto"/>
                    <w:right w:val="none" w:sz="0" w:space="0" w:color="auto"/>
                  </w:divBdr>
                  <w:divsChild>
                    <w:div w:id="1909067801">
                      <w:marLeft w:val="0"/>
                      <w:marRight w:val="0"/>
                      <w:marTop w:val="0"/>
                      <w:marBottom w:val="0"/>
                      <w:divBdr>
                        <w:top w:val="none" w:sz="0" w:space="0" w:color="auto"/>
                        <w:left w:val="none" w:sz="0" w:space="0" w:color="auto"/>
                        <w:bottom w:val="none" w:sz="0" w:space="0" w:color="auto"/>
                        <w:right w:val="none" w:sz="0" w:space="0" w:color="auto"/>
                      </w:divBdr>
                    </w:div>
                  </w:divsChild>
                </w:div>
                <w:div w:id="1643189429">
                  <w:marLeft w:val="0"/>
                  <w:marRight w:val="0"/>
                  <w:marTop w:val="0"/>
                  <w:marBottom w:val="0"/>
                  <w:divBdr>
                    <w:top w:val="none" w:sz="0" w:space="0" w:color="auto"/>
                    <w:left w:val="none" w:sz="0" w:space="0" w:color="auto"/>
                    <w:bottom w:val="none" w:sz="0" w:space="0" w:color="auto"/>
                    <w:right w:val="none" w:sz="0" w:space="0" w:color="auto"/>
                  </w:divBdr>
                  <w:divsChild>
                    <w:div w:id="61029559">
                      <w:marLeft w:val="0"/>
                      <w:marRight w:val="0"/>
                      <w:marTop w:val="0"/>
                      <w:marBottom w:val="0"/>
                      <w:divBdr>
                        <w:top w:val="none" w:sz="0" w:space="0" w:color="auto"/>
                        <w:left w:val="none" w:sz="0" w:space="0" w:color="auto"/>
                        <w:bottom w:val="none" w:sz="0" w:space="0" w:color="auto"/>
                        <w:right w:val="none" w:sz="0" w:space="0" w:color="auto"/>
                      </w:divBdr>
                    </w:div>
                  </w:divsChild>
                </w:div>
                <w:div w:id="208076945">
                  <w:marLeft w:val="0"/>
                  <w:marRight w:val="0"/>
                  <w:marTop w:val="0"/>
                  <w:marBottom w:val="0"/>
                  <w:divBdr>
                    <w:top w:val="none" w:sz="0" w:space="0" w:color="auto"/>
                    <w:left w:val="none" w:sz="0" w:space="0" w:color="auto"/>
                    <w:bottom w:val="none" w:sz="0" w:space="0" w:color="auto"/>
                    <w:right w:val="none" w:sz="0" w:space="0" w:color="auto"/>
                  </w:divBdr>
                  <w:divsChild>
                    <w:div w:id="1655454447">
                      <w:marLeft w:val="0"/>
                      <w:marRight w:val="0"/>
                      <w:marTop w:val="0"/>
                      <w:marBottom w:val="0"/>
                      <w:divBdr>
                        <w:top w:val="none" w:sz="0" w:space="0" w:color="auto"/>
                        <w:left w:val="none" w:sz="0" w:space="0" w:color="auto"/>
                        <w:bottom w:val="none" w:sz="0" w:space="0" w:color="auto"/>
                        <w:right w:val="none" w:sz="0" w:space="0" w:color="auto"/>
                      </w:divBdr>
                    </w:div>
                  </w:divsChild>
                </w:div>
                <w:div w:id="1411199816">
                  <w:marLeft w:val="0"/>
                  <w:marRight w:val="0"/>
                  <w:marTop w:val="0"/>
                  <w:marBottom w:val="0"/>
                  <w:divBdr>
                    <w:top w:val="none" w:sz="0" w:space="0" w:color="auto"/>
                    <w:left w:val="none" w:sz="0" w:space="0" w:color="auto"/>
                    <w:bottom w:val="none" w:sz="0" w:space="0" w:color="auto"/>
                    <w:right w:val="none" w:sz="0" w:space="0" w:color="auto"/>
                  </w:divBdr>
                  <w:divsChild>
                    <w:div w:id="931205180">
                      <w:marLeft w:val="0"/>
                      <w:marRight w:val="0"/>
                      <w:marTop w:val="0"/>
                      <w:marBottom w:val="0"/>
                      <w:divBdr>
                        <w:top w:val="none" w:sz="0" w:space="0" w:color="auto"/>
                        <w:left w:val="none" w:sz="0" w:space="0" w:color="auto"/>
                        <w:bottom w:val="none" w:sz="0" w:space="0" w:color="auto"/>
                        <w:right w:val="none" w:sz="0" w:space="0" w:color="auto"/>
                      </w:divBdr>
                    </w:div>
                  </w:divsChild>
                </w:div>
                <w:div w:id="878515290">
                  <w:marLeft w:val="0"/>
                  <w:marRight w:val="0"/>
                  <w:marTop w:val="0"/>
                  <w:marBottom w:val="0"/>
                  <w:divBdr>
                    <w:top w:val="none" w:sz="0" w:space="0" w:color="auto"/>
                    <w:left w:val="none" w:sz="0" w:space="0" w:color="auto"/>
                    <w:bottom w:val="none" w:sz="0" w:space="0" w:color="auto"/>
                    <w:right w:val="none" w:sz="0" w:space="0" w:color="auto"/>
                  </w:divBdr>
                  <w:divsChild>
                    <w:div w:id="1580670706">
                      <w:marLeft w:val="0"/>
                      <w:marRight w:val="0"/>
                      <w:marTop w:val="0"/>
                      <w:marBottom w:val="0"/>
                      <w:divBdr>
                        <w:top w:val="none" w:sz="0" w:space="0" w:color="auto"/>
                        <w:left w:val="none" w:sz="0" w:space="0" w:color="auto"/>
                        <w:bottom w:val="none" w:sz="0" w:space="0" w:color="auto"/>
                        <w:right w:val="none" w:sz="0" w:space="0" w:color="auto"/>
                      </w:divBdr>
                    </w:div>
                  </w:divsChild>
                </w:div>
                <w:div w:id="1542740654">
                  <w:marLeft w:val="0"/>
                  <w:marRight w:val="0"/>
                  <w:marTop w:val="0"/>
                  <w:marBottom w:val="0"/>
                  <w:divBdr>
                    <w:top w:val="none" w:sz="0" w:space="0" w:color="auto"/>
                    <w:left w:val="none" w:sz="0" w:space="0" w:color="auto"/>
                    <w:bottom w:val="none" w:sz="0" w:space="0" w:color="auto"/>
                    <w:right w:val="none" w:sz="0" w:space="0" w:color="auto"/>
                  </w:divBdr>
                  <w:divsChild>
                    <w:div w:id="1558585162">
                      <w:marLeft w:val="0"/>
                      <w:marRight w:val="0"/>
                      <w:marTop w:val="0"/>
                      <w:marBottom w:val="0"/>
                      <w:divBdr>
                        <w:top w:val="none" w:sz="0" w:space="0" w:color="auto"/>
                        <w:left w:val="none" w:sz="0" w:space="0" w:color="auto"/>
                        <w:bottom w:val="none" w:sz="0" w:space="0" w:color="auto"/>
                        <w:right w:val="none" w:sz="0" w:space="0" w:color="auto"/>
                      </w:divBdr>
                    </w:div>
                  </w:divsChild>
                </w:div>
                <w:div w:id="545606818">
                  <w:marLeft w:val="0"/>
                  <w:marRight w:val="0"/>
                  <w:marTop w:val="0"/>
                  <w:marBottom w:val="0"/>
                  <w:divBdr>
                    <w:top w:val="none" w:sz="0" w:space="0" w:color="auto"/>
                    <w:left w:val="none" w:sz="0" w:space="0" w:color="auto"/>
                    <w:bottom w:val="none" w:sz="0" w:space="0" w:color="auto"/>
                    <w:right w:val="none" w:sz="0" w:space="0" w:color="auto"/>
                  </w:divBdr>
                  <w:divsChild>
                    <w:div w:id="16398456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126687">
          <w:marLeft w:val="0"/>
          <w:marRight w:val="0"/>
          <w:marTop w:val="0"/>
          <w:marBottom w:val="0"/>
          <w:divBdr>
            <w:top w:val="none" w:sz="0" w:space="0" w:color="auto"/>
            <w:left w:val="none" w:sz="0" w:space="0" w:color="auto"/>
            <w:bottom w:val="none" w:sz="0" w:space="0" w:color="auto"/>
            <w:right w:val="none" w:sz="0" w:space="0" w:color="auto"/>
          </w:divBdr>
        </w:div>
        <w:div w:id="1870334625">
          <w:marLeft w:val="0"/>
          <w:marRight w:val="0"/>
          <w:marTop w:val="0"/>
          <w:marBottom w:val="0"/>
          <w:divBdr>
            <w:top w:val="none" w:sz="0" w:space="0" w:color="auto"/>
            <w:left w:val="none" w:sz="0" w:space="0" w:color="auto"/>
            <w:bottom w:val="none" w:sz="0" w:space="0" w:color="auto"/>
            <w:right w:val="none" w:sz="0" w:space="0" w:color="auto"/>
          </w:divBdr>
        </w:div>
        <w:div w:id="1538809223">
          <w:marLeft w:val="0"/>
          <w:marRight w:val="0"/>
          <w:marTop w:val="0"/>
          <w:marBottom w:val="0"/>
          <w:divBdr>
            <w:top w:val="none" w:sz="0" w:space="0" w:color="auto"/>
            <w:left w:val="none" w:sz="0" w:space="0" w:color="auto"/>
            <w:bottom w:val="none" w:sz="0" w:space="0" w:color="auto"/>
            <w:right w:val="none" w:sz="0" w:space="0" w:color="auto"/>
          </w:divBdr>
        </w:div>
        <w:div w:id="816722110">
          <w:marLeft w:val="0"/>
          <w:marRight w:val="0"/>
          <w:marTop w:val="0"/>
          <w:marBottom w:val="0"/>
          <w:divBdr>
            <w:top w:val="none" w:sz="0" w:space="0" w:color="auto"/>
            <w:left w:val="none" w:sz="0" w:space="0" w:color="auto"/>
            <w:bottom w:val="none" w:sz="0" w:space="0" w:color="auto"/>
            <w:right w:val="none" w:sz="0" w:space="0" w:color="auto"/>
          </w:divBdr>
        </w:div>
        <w:div w:id="133059973">
          <w:marLeft w:val="0"/>
          <w:marRight w:val="0"/>
          <w:marTop w:val="0"/>
          <w:marBottom w:val="0"/>
          <w:divBdr>
            <w:top w:val="none" w:sz="0" w:space="0" w:color="auto"/>
            <w:left w:val="none" w:sz="0" w:space="0" w:color="auto"/>
            <w:bottom w:val="none" w:sz="0" w:space="0" w:color="auto"/>
            <w:right w:val="none" w:sz="0" w:space="0" w:color="auto"/>
          </w:divBdr>
        </w:div>
        <w:div w:id="1996954091">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13" Type="http://schemas.openxmlformats.org/officeDocument/2006/relationships/hyperlink" Target="https://www.nice.org.uk/guidance/ng12"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chart" Target="charts/chart1.xml"/><Relationship Id="rId12" Type="http://schemas.openxmlformats.org/officeDocument/2006/relationships/hyperlink" Target="mailto:fhft.bspsdutybiochemistteam@nhs.net"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5.xml"/><Relationship Id="rId5" Type="http://schemas.openxmlformats.org/officeDocument/2006/relationships/footnotes" Target="footnotes.xml"/><Relationship Id="rId15" Type="http://schemas.openxmlformats.org/officeDocument/2006/relationships/hyperlink" Target="mailto:lisa.glendenning1@nhs.net" TargetMode="External"/><Relationship Id="rId10" Type="http://schemas.openxmlformats.org/officeDocument/2006/relationships/chart" Target="charts/chart4.xm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chart" Target="charts/chart3.xml"/><Relationship Id="rId14" Type="http://schemas.openxmlformats.org/officeDocument/2006/relationships/hyperlink" Target="https://doi.org/10.1016/j.plabm.2020.e00185"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1" Type="http://schemas.openxmlformats.org/officeDocument/2006/relationships/oleObject" Target="file:///\\rsch-userdata\h_drive\RTibbs\RTibbs%20Documents\Abbott%20project\Tumour%20markers\Passing%20Babloks.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rsch-userdata\h_drive\RTibbs\RTibbs%20Documents\Abbott%20project\Tumour%20markers\Passing%20Babloks.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rsch-userdata\h_drive\RTibbs\RTibbs%20Documents\Abbott%20project\Tumour%20markers\Passing%20Babloks.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rsch-userdata\h_drive\RTibbs\RTibbs%20Documents\Abbott%20project\Tumour%20markers\Passing%20Babloks.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rsch-userdata\h_drive\RTibbs\RTibbs%20Documents\Abbott%20project\Tumour%20markers\Passing%20Bablok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9226450860309127"/>
          <c:y val="1.9444444444444445E-2"/>
          <c:w val="0.65164953339165943"/>
          <c:h val="0.78131797574889916"/>
        </c:manualLayout>
      </c:layout>
      <c:scatterChart>
        <c:scatterStyle val="lineMarker"/>
        <c:varyColors val="0"/>
        <c:ser>
          <c:idx val="0"/>
          <c:order val="0"/>
          <c:tx>
            <c:v/>
          </c:tx>
          <c:spPr>
            <a:ln w="19050">
              <a:noFill/>
            </a:ln>
          </c:spPr>
          <c:marker>
            <c:symbol val="none"/>
          </c:marker>
          <c:smooth val="0"/>
          <c:extLst xmlns:c16r2="http://schemas.microsoft.com/office/drawing/2015/06/chart">
            <c:ext xmlns:c16="http://schemas.microsoft.com/office/drawing/2014/chart" uri="{C3380CC4-5D6E-409C-BE32-E72D297353CC}">
              <c16:uniqueId val="{00000000-0D24-4C97-BEB2-847EF0EF570A}"/>
            </c:ext>
          </c:extLst>
        </c:ser>
        <c:ser>
          <c:idx val="1"/>
          <c:order val="1"/>
          <c:tx>
            <c:v>Identity</c:v>
          </c:tx>
          <c:spPr>
            <a:ln w="12700">
              <a:solidFill>
                <a:srgbClr val="B0B0B0"/>
              </a:solidFill>
              <a:prstDash val="solid"/>
            </a:ln>
          </c:spPr>
          <c:marker>
            <c:symbol val="none"/>
          </c:marker>
          <c:xVal>
            <c:numRef>
              <c:f>'Old method, New method 2'!$KO$1:$KO$2</c:f>
              <c:numCache>
                <c:formatCode>General</c:formatCode>
                <c:ptCount val="2"/>
                <c:pt idx="0">
                  <c:v>0</c:v>
                </c:pt>
                <c:pt idx="1">
                  <c:v>100</c:v>
                </c:pt>
              </c:numCache>
            </c:numRef>
          </c:xVal>
          <c:yVal>
            <c:numRef>
              <c:f>'Old method, New method 2'!$KO$3:$KO$4</c:f>
              <c:numCache>
                <c:formatCode>General</c:formatCode>
                <c:ptCount val="2"/>
                <c:pt idx="0">
                  <c:v>0</c:v>
                </c:pt>
                <c:pt idx="1">
                  <c:v>100</c:v>
                </c:pt>
              </c:numCache>
            </c:numRef>
          </c:yVal>
          <c:smooth val="0"/>
          <c:extLst xmlns:c16r2="http://schemas.microsoft.com/office/drawing/2015/06/chart">
            <c:ext xmlns:c16="http://schemas.microsoft.com/office/drawing/2014/chart" uri="{C3380CC4-5D6E-409C-BE32-E72D297353CC}">
              <c16:uniqueId val="{00000001-0D24-4C97-BEB2-847EF0EF570A}"/>
            </c:ext>
          </c:extLst>
        </c:ser>
        <c:ser>
          <c:idx val="2"/>
          <c:order val="2"/>
          <c:tx>
            <c:v/>
          </c:tx>
          <c:spPr>
            <a:ln w="19050">
              <a:noFill/>
            </a:ln>
          </c:spPr>
          <c:marker>
            <c:symbol val="square"/>
            <c:size val="4"/>
            <c:spPr>
              <a:solidFill>
                <a:srgbClr val="404040">
                  <a:alpha val="75000"/>
                </a:srgbClr>
              </a:solidFill>
              <a:ln w="6350">
                <a:noFill/>
              </a:ln>
            </c:spPr>
          </c:marker>
          <c:xVal>
            <c:numRef>
              <c:f>'Old method, New method 2'!$KO$5:$KO$24</c:f>
              <c:numCache>
                <c:formatCode>General</c:formatCode>
                <c:ptCount val="20"/>
                <c:pt idx="0">
                  <c:v>54.1</c:v>
                </c:pt>
                <c:pt idx="1">
                  <c:v>2.9</c:v>
                </c:pt>
                <c:pt idx="2">
                  <c:v>5.8</c:v>
                </c:pt>
                <c:pt idx="3">
                  <c:v>7.4</c:v>
                </c:pt>
                <c:pt idx="4">
                  <c:v>35.6</c:v>
                </c:pt>
                <c:pt idx="5">
                  <c:v>64.099999999999994</c:v>
                </c:pt>
                <c:pt idx="6">
                  <c:v>2.6</c:v>
                </c:pt>
                <c:pt idx="7">
                  <c:v>1.4</c:v>
                </c:pt>
                <c:pt idx="8">
                  <c:v>5.5</c:v>
                </c:pt>
                <c:pt idx="9">
                  <c:v>1</c:v>
                </c:pt>
                <c:pt idx="10">
                  <c:v>7.1</c:v>
                </c:pt>
                <c:pt idx="11">
                  <c:v>1.1000000000000001</c:v>
                </c:pt>
                <c:pt idx="12">
                  <c:v>8</c:v>
                </c:pt>
                <c:pt idx="13">
                  <c:v>1.3</c:v>
                </c:pt>
                <c:pt idx="14">
                  <c:v>5.8</c:v>
                </c:pt>
                <c:pt idx="15">
                  <c:v>2</c:v>
                </c:pt>
                <c:pt idx="16">
                  <c:v>7.5</c:v>
                </c:pt>
                <c:pt idx="17">
                  <c:v>2.9</c:v>
                </c:pt>
                <c:pt idx="18">
                  <c:v>1.1000000000000001</c:v>
                </c:pt>
                <c:pt idx="19">
                  <c:v>11.1</c:v>
                </c:pt>
              </c:numCache>
            </c:numRef>
          </c:xVal>
          <c:yVal>
            <c:numRef>
              <c:f>'Old method, New method 2'!$KO$25:$KO$44</c:f>
              <c:numCache>
                <c:formatCode>General</c:formatCode>
                <c:ptCount val="20"/>
                <c:pt idx="0">
                  <c:v>76.55</c:v>
                </c:pt>
                <c:pt idx="1">
                  <c:v>4.26</c:v>
                </c:pt>
                <c:pt idx="2">
                  <c:v>10.89</c:v>
                </c:pt>
                <c:pt idx="3">
                  <c:v>10.48</c:v>
                </c:pt>
                <c:pt idx="4">
                  <c:v>42.72</c:v>
                </c:pt>
                <c:pt idx="5">
                  <c:v>94.52</c:v>
                </c:pt>
                <c:pt idx="6">
                  <c:v>3.92</c:v>
                </c:pt>
                <c:pt idx="7">
                  <c:v>2.69</c:v>
                </c:pt>
                <c:pt idx="8">
                  <c:v>10.37</c:v>
                </c:pt>
                <c:pt idx="9">
                  <c:v>1.84</c:v>
                </c:pt>
                <c:pt idx="10">
                  <c:v>8.7200000000000006</c:v>
                </c:pt>
                <c:pt idx="11">
                  <c:v>1.96</c:v>
                </c:pt>
                <c:pt idx="12">
                  <c:v>13.74</c:v>
                </c:pt>
                <c:pt idx="13">
                  <c:v>2.82</c:v>
                </c:pt>
                <c:pt idx="14">
                  <c:v>10.89</c:v>
                </c:pt>
                <c:pt idx="15">
                  <c:v>4.3</c:v>
                </c:pt>
                <c:pt idx="16">
                  <c:v>13.06</c:v>
                </c:pt>
                <c:pt idx="17">
                  <c:v>4.26</c:v>
                </c:pt>
                <c:pt idx="18">
                  <c:v>3.89</c:v>
                </c:pt>
                <c:pt idx="19">
                  <c:v>15.81</c:v>
                </c:pt>
              </c:numCache>
            </c:numRef>
          </c:yVal>
          <c:smooth val="0"/>
          <c:extLst xmlns:c16r2="http://schemas.microsoft.com/office/drawing/2015/06/chart">
            <c:ext xmlns:c16="http://schemas.microsoft.com/office/drawing/2014/chart" uri="{C3380CC4-5D6E-409C-BE32-E72D297353CC}">
              <c16:uniqueId val="{00000002-0D24-4C97-BEB2-847EF0EF570A}"/>
            </c:ext>
          </c:extLst>
        </c:ser>
        <c:ser>
          <c:idx val="3"/>
          <c:order val="3"/>
          <c:tx>
            <c:v>Passing-Bablok fit
(y = 0.5707 + 1.412 x)</c:v>
          </c:tx>
          <c:spPr>
            <a:ln w="25400">
              <a:solidFill>
                <a:srgbClr val="E61C1B"/>
              </a:solidFill>
              <a:prstDash val="solid"/>
            </a:ln>
          </c:spPr>
          <c:marker>
            <c:symbol val="none"/>
          </c:marker>
          <c:xVal>
            <c:numRef>
              <c:f>'Old method, New method 2'!$KO$45:$KO$46</c:f>
              <c:numCache>
                <c:formatCode>General</c:formatCode>
                <c:ptCount val="2"/>
                <c:pt idx="0">
                  <c:v>1</c:v>
                </c:pt>
                <c:pt idx="1">
                  <c:v>64.099999999999994</c:v>
                </c:pt>
              </c:numCache>
            </c:numRef>
          </c:xVal>
          <c:yVal>
            <c:numRef>
              <c:f>'Old method, New method 2'!$KO$47:$KO$48</c:f>
              <c:numCache>
                <c:formatCode>General</c:formatCode>
                <c:ptCount val="2"/>
                <c:pt idx="0">
                  <c:v>1.9826171875</c:v>
                </c:pt>
                <c:pt idx="1">
                  <c:v>91.074394531249993</c:v>
                </c:pt>
              </c:numCache>
            </c:numRef>
          </c:yVal>
          <c:smooth val="0"/>
          <c:extLst xmlns:c16r2="http://schemas.microsoft.com/office/drawing/2015/06/chart">
            <c:ext xmlns:c16="http://schemas.microsoft.com/office/drawing/2014/chart" uri="{C3380CC4-5D6E-409C-BE32-E72D297353CC}">
              <c16:uniqueId val="{00000003-0D24-4C97-BEB2-847EF0EF570A}"/>
            </c:ext>
          </c:extLst>
        </c:ser>
        <c:dLbls>
          <c:showLegendKey val="0"/>
          <c:showVal val="0"/>
          <c:showCatName val="0"/>
          <c:showSerName val="0"/>
          <c:showPercent val="0"/>
          <c:showBubbleSize val="0"/>
        </c:dLbls>
        <c:axId val="403606872"/>
        <c:axId val="403608440"/>
      </c:scatterChart>
      <c:valAx>
        <c:axId val="403606872"/>
        <c:scaling>
          <c:orientation val="minMax"/>
          <c:max val="100"/>
          <c:min val="0"/>
        </c:scaling>
        <c:delete val="0"/>
        <c:axPos val="b"/>
        <c:title>
          <c:tx>
            <c:rich>
              <a:bodyPr/>
              <a:lstStyle/>
              <a:p>
                <a:pPr>
                  <a:defRPr sz="1000" b="0" i="0">
                    <a:latin typeface="Calibri"/>
                    <a:ea typeface="Calibri"/>
                    <a:cs typeface="Calibri"/>
                  </a:defRPr>
                </a:pPr>
                <a:r>
                  <a:rPr lang="en-GB"/>
                  <a:t>Old method (Centaur)</a:t>
                </a:r>
              </a:p>
            </c:rich>
          </c:tx>
          <c:overlay val="0"/>
        </c:title>
        <c:numFmt formatCode="General" sourceLinked="0"/>
        <c:majorTickMark val="out"/>
        <c:minorTickMark val="out"/>
        <c:tickLblPos val="nextTo"/>
        <c:spPr>
          <a:ln w="12700">
            <a:solidFill>
              <a:srgbClr val="808080"/>
            </a:solidFill>
            <a:prstDash val="solid"/>
          </a:ln>
        </c:spPr>
        <c:txPr>
          <a:bodyPr/>
          <a:lstStyle/>
          <a:p>
            <a:pPr>
              <a:defRPr sz="900" b="0" i="0">
                <a:latin typeface="Calibri"/>
                <a:ea typeface="Calibri"/>
                <a:cs typeface="Calibri"/>
              </a:defRPr>
            </a:pPr>
            <a:endParaRPr lang="en-US"/>
          </a:p>
        </c:txPr>
        <c:crossAx val="403608440"/>
        <c:crosses val="min"/>
        <c:crossBetween val="midCat"/>
        <c:majorUnit val="10"/>
        <c:minorUnit val="10"/>
      </c:valAx>
      <c:valAx>
        <c:axId val="403608440"/>
        <c:scaling>
          <c:orientation val="minMax"/>
          <c:max val="100"/>
          <c:min val="0"/>
        </c:scaling>
        <c:delete val="0"/>
        <c:axPos val="l"/>
        <c:title>
          <c:tx>
            <c:rich>
              <a:bodyPr/>
              <a:lstStyle/>
              <a:p>
                <a:pPr>
                  <a:defRPr sz="1000" b="0" i="0">
                    <a:latin typeface="Calibri"/>
                    <a:ea typeface="Calibri"/>
                    <a:cs typeface="Calibri"/>
                  </a:defRPr>
                </a:pPr>
                <a:r>
                  <a:rPr lang="en-GB"/>
                  <a:t>New method (Alinity)</a:t>
                </a:r>
              </a:p>
            </c:rich>
          </c:tx>
          <c:overlay val="0"/>
        </c:title>
        <c:numFmt formatCode="General" sourceLinked="0"/>
        <c:majorTickMark val="out"/>
        <c:minorTickMark val="out"/>
        <c:tickLblPos val="nextTo"/>
        <c:spPr>
          <a:ln w="12700">
            <a:solidFill>
              <a:srgbClr val="808080"/>
            </a:solidFill>
            <a:prstDash val="solid"/>
          </a:ln>
        </c:spPr>
        <c:txPr>
          <a:bodyPr/>
          <a:lstStyle/>
          <a:p>
            <a:pPr>
              <a:defRPr sz="900" b="0" i="0">
                <a:latin typeface="Calibri"/>
                <a:ea typeface="Calibri"/>
                <a:cs typeface="Calibri"/>
              </a:defRPr>
            </a:pPr>
            <a:endParaRPr lang="en-US"/>
          </a:p>
        </c:txPr>
        <c:crossAx val="403606872"/>
        <c:crosses val="min"/>
        <c:crossBetween val="midCat"/>
        <c:majorUnit val="10"/>
        <c:minorUnit val="10"/>
      </c:valAx>
    </c:plotArea>
    <c:legend>
      <c:legendPos val="r"/>
      <c:legendEntry>
        <c:idx val="0"/>
        <c:delete val="1"/>
      </c:legendEntry>
      <c:legendEntry>
        <c:idx val="1"/>
        <c:delete val="1"/>
      </c:legendEntry>
      <c:legendEntry>
        <c:idx val="2"/>
        <c:delete val="1"/>
      </c:legendEntry>
      <c:layout>
        <c:manualLayout>
          <c:xMode val="edge"/>
          <c:yMode val="edge"/>
          <c:x val="0.38464056576261302"/>
          <c:y val="0.58621027743432896"/>
          <c:w val="0.49961869349664634"/>
          <c:h val="0.18241513199279841"/>
        </c:manualLayout>
      </c:layout>
      <c:overlay val="1"/>
      <c:txPr>
        <a:bodyPr/>
        <a:lstStyle/>
        <a:p>
          <a:pPr>
            <a:defRPr sz="900" b="0" i="0">
              <a:latin typeface="Calibri"/>
              <a:ea typeface="Calibri"/>
              <a:cs typeface="Calibri"/>
            </a:defRPr>
          </a:pPr>
          <a:endParaRPr lang="en-US"/>
        </a:p>
      </c:txPr>
    </c:legend>
    <c:plotVisOnly val="0"/>
    <c:dispBlanksAs val="gap"/>
    <c:showDLblsOverMax val="0"/>
  </c:chart>
  <c:spPr>
    <a:ln w="12700">
      <a:solidFill>
        <a:srgbClr val="F0F0F0"/>
      </a:solidFill>
      <a:prstDash val="solid"/>
    </a:ln>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21555162747513704"/>
          <c:y val="3.2693569553805778E-2"/>
          <c:w val="0.69878979413287612"/>
          <c:h val="0.73993578927634041"/>
        </c:manualLayout>
      </c:layout>
      <c:scatterChart>
        <c:scatterStyle val="lineMarker"/>
        <c:varyColors val="0"/>
        <c:ser>
          <c:idx val="0"/>
          <c:order val="0"/>
          <c:tx>
            <c:v/>
          </c:tx>
          <c:spPr>
            <a:ln w="19050">
              <a:noFill/>
            </a:ln>
          </c:spPr>
          <c:marker>
            <c:symbol val="none"/>
          </c:marker>
          <c:smooth val="0"/>
          <c:extLst xmlns:c16r2="http://schemas.microsoft.com/office/drawing/2015/06/chart">
            <c:ext xmlns:c16="http://schemas.microsoft.com/office/drawing/2014/chart" uri="{C3380CC4-5D6E-409C-BE32-E72D297353CC}">
              <c16:uniqueId val="{00000000-7603-41FF-B0CE-8257AE0AFF1E}"/>
            </c:ext>
          </c:extLst>
        </c:ser>
        <c:ser>
          <c:idx val="1"/>
          <c:order val="1"/>
          <c:tx>
            <c:v>Identity</c:v>
          </c:tx>
          <c:spPr>
            <a:ln w="12700">
              <a:solidFill>
                <a:srgbClr val="B0B0B0"/>
              </a:solidFill>
              <a:prstDash val="solid"/>
            </a:ln>
          </c:spPr>
          <c:marker>
            <c:symbol val="none"/>
          </c:marker>
          <c:xVal>
            <c:numRef>
              <c:f>'Old method, New method 8'!$KO$1:$KO$2</c:f>
              <c:numCache>
                <c:formatCode>General</c:formatCode>
                <c:ptCount val="2"/>
                <c:pt idx="0">
                  <c:v>0</c:v>
                </c:pt>
                <c:pt idx="1">
                  <c:v>130</c:v>
                </c:pt>
              </c:numCache>
            </c:numRef>
          </c:xVal>
          <c:yVal>
            <c:numRef>
              <c:f>'Old method, New method 8'!$KO$3:$KO$4</c:f>
              <c:numCache>
                <c:formatCode>General</c:formatCode>
                <c:ptCount val="2"/>
                <c:pt idx="0">
                  <c:v>0</c:v>
                </c:pt>
                <c:pt idx="1">
                  <c:v>130</c:v>
                </c:pt>
              </c:numCache>
            </c:numRef>
          </c:yVal>
          <c:smooth val="0"/>
          <c:extLst xmlns:c16r2="http://schemas.microsoft.com/office/drawing/2015/06/chart">
            <c:ext xmlns:c16="http://schemas.microsoft.com/office/drawing/2014/chart" uri="{C3380CC4-5D6E-409C-BE32-E72D297353CC}">
              <c16:uniqueId val="{00000001-7603-41FF-B0CE-8257AE0AFF1E}"/>
            </c:ext>
          </c:extLst>
        </c:ser>
        <c:ser>
          <c:idx val="2"/>
          <c:order val="2"/>
          <c:tx>
            <c:v/>
          </c:tx>
          <c:spPr>
            <a:ln w="19050">
              <a:noFill/>
            </a:ln>
          </c:spPr>
          <c:marker>
            <c:symbol val="square"/>
            <c:size val="4"/>
            <c:spPr>
              <a:solidFill>
                <a:srgbClr val="404040">
                  <a:alpha val="75000"/>
                </a:srgbClr>
              </a:solidFill>
              <a:ln w="6350">
                <a:noFill/>
              </a:ln>
            </c:spPr>
          </c:marker>
          <c:xVal>
            <c:numRef>
              <c:f>'Old method, New method 8'!$KO$5:$KO$19</c:f>
              <c:numCache>
                <c:formatCode>General</c:formatCode>
                <c:ptCount val="15"/>
                <c:pt idx="0">
                  <c:v>4.5999999999999996</c:v>
                </c:pt>
                <c:pt idx="1">
                  <c:v>6.5</c:v>
                </c:pt>
                <c:pt idx="2">
                  <c:v>16.5</c:v>
                </c:pt>
                <c:pt idx="3">
                  <c:v>26.7</c:v>
                </c:pt>
                <c:pt idx="4">
                  <c:v>31.6</c:v>
                </c:pt>
                <c:pt idx="5">
                  <c:v>31.8</c:v>
                </c:pt>
                <c:pt idx="6">
                  <c:v>35.5</c:v>
                </c:pt>
                <c:pt idx="7">
                  <c:v>36.299999999999997</c:v>
                </c:pt>
                <c:pt idx="8">
                  <c:v>40.799999999999997</c:v>
                </c:pt>
                <c:pt idx="9">
                  <c:v>58.1</c:v>
                </c:pt>
                <c:pt idx="10">
                  <c:v>66.8</c:v>
                </c:pt>
                <c:pt idx="11">
                  <c:v>76.3</c:v>
                </c:pt>
                <c:pt idx="12">
                  <c:v>88.4</c:v>
                </c:pt>
                <c:pt idx="13">
                  <c:v>89.3</c:v>
                </c:pt>
                <c:pt idx="14">
                  <c:v>92.7</c:v>
                </c:pt>
              </c:numCache>
            </c:numRef>
          </c:xVal>
          <c:yVal>
            <c:numRef>
              <c:f>'Old method, New method 8'!$KO$20:$KO$34</c:f>
              <c:numCache>
                <c:formatCode>General</c:formatCode>
                <c:ptCount val="15"/>
                <c:pt idx="0">
                  <c:v>5.6</c:v>
                </c:pt>
                <c:pt idx="1">
                  <c:v>7.4</c:v>
                </c:pt>
                <c:pt idx="2">
                  <c:v>17.899999999999999</c:v>
                </c:pt>
                <c:pt idx="3">
                  <c:v>41.1</c:v>
                </c:pt>
                <c:pt idx="4">
                  <c:v>36.4</c:v>
                </c:pt>
                <c:pt idx="5">
                  <c:v>42.6</c:v>
                </c:pt>
                <c:pt idx="6">
                  <c:v>47.9</c:v>
                </c:pt>
                <c:pt idx="7">
                  <c:v>40.799999999999997</c:v>
                </c:pt>
                <c:pt idx="8">
                  <c:v>49.9</c:v>
                </c:pt>
                <c:pt idx="9">
                  <c:v>73</c:v>
                </c:pt>
                <c:pt idx="10">
                  <c:v>81.599999999999994</c:v>
                </c:pt>
                <c:pt idx="11">
                  <c:v>101.6</c:v>
                </c:pt>
                <c:pt idx="12">
                  <c:v>121.3</c:v>
                </c:pt>
                <c:pt idx="13">
                  <c:v>123.8</c:v>
                </c:pt>
                <c:pt idx="14">
                  <c:v>120.5</c:v>
                </c:pt>
              </c:numCache>
            </c:numRef>
          </c:yVal>
          <c:smooth val="0"/>
          <c:extLst xmlns:c16r2="http://schemas.microsoft.com/office/drawing/2015/06/chart">
            <c:ext xmlns:c16="http://schemas.microsoft.com/office/drawing/2014/chart" uri="{C3380CC4-5D6E-409C-BE32-E72D297353CC}">
              <c16:uniqueId val="{00000002-7603-41FF-B0CE-8257AE0AFF1E}"/>
            </c:ext>
          </c:extLst>
        </c:ser>
        <c:ser>
          <c:idx val="3"/>
          <c:order val="3"/>
          <c:tx>
            <c:v>Passing-Bablok fit
(y = -1.352 + 1.346 x)</c:v>
          </c:tx>
          <c:spPr>
            <a:ln w="25400">
              <a:solidFill>
                <a:srgbClr val="E61C1B"/>
              </a:solidFill>
              <a:prstDash val="solid"/>
            </a:ln>
          </c:spPr>
          <c:marker>
            <c:symbol val="none"/>
          </c:marker>
          <c:xVal>
            <c:numRef>
              <c:f>'Old method, New method 8'!$KO$35:$KO$36</c:f>
              <c:numCache>
                <c:formatCode>General</c:formatCode>
                <c:ptCount val="2"/>
                <c:pt idx="0">
                  <c:v>4.5999999999999996</c:v>
                </c:pt>
                <c:pt idx="1">
                  <c:v>92.7</c:v>
                </c:pt>
              </c:numCache>
            </c:numRef>
          </c:xVal>
          <c:yVal>
            <c:numRef>
              <c:f>'Old method, New method 8'!$KO$37:$KO$38</c:f>
              <c:numCache>
                <c:formatCode>General</c:formatCode>
                <c:ptCount val="2"/>
                <c:pt idx="0">
                  <c:v>4.8417322834645669</c:v>
                </c:pt>
                <c:pt idx="1">
                  <c:v>123.46456692913387</c:v>
                </c:pt>
              </c:numCache>
            </c:numRef>
          </c:yVal>
          <c:smooth val="0"/>
          <c:extLst xmlns:c16r2="http://schemas.microsoft.com/office/drawing/2015/06/chart">
            <c:ext xmlns:c16="http://schemas.microsoft.com/office/drawing/2014/chart" uri="{C3380CC4-5D6E-409C-BE32-E72D297353CC}">
              <c16:uniqueId val="{00000003-7603-41FF-B0CE-8257AE0AFF1E}"/>
            </c:ext>
          </c:extLst>
        </c:ser>
        <c:dLbls>
          <c:showLegendKey val="0"/>
          <c:showVal val="0"/>
          <c:showCatName val="0"/>
          <c:showSerName val="0"/>
          <c:showPercent val="0"/>
          <c:showBubbleSize val="0"/>
        </c:dLbls>
        <c:axId val="360687792"/>
        <c:axId val="360686616"/>
      </c:scatterChart>
      <c:valAx>
        <c:axId val="360687792"/>
        <c:scaling>
          <c:orientation val="minMax"/>
          <c:max val="130"/>
          <c:min val="0"/>
        </c:scaling>
        <c:delete val="0"/>
        <c:axPos val="b"/>
        <c:title>
          <c:tx>
            <c:rich>
              <a:bodyPr/>
              <a:lstStyle/>
              <a:p>
                <a:pPr>
                  <a:defRPr sz="1000" b="0" i="0">
                    <a:latin typeface="Calibri"/>
                    <a:ea typeface="Calibri"/>
                    <a:cs typeface="Calibri"/>
                  </a:defRPr>
                </a:pPr>
                <a:r>
                  <a:rPr lang="en-GB"/>
                  <a:t>Old method (Centaur)</a:t>
                </a:r>
              </a:p>
            </c:rich>
          </c:tx>
          <c:overlay val="0"/>
        </c:title>
        <c:numFmt formatCode="General" sourceLinked="0"/>
        <c:majorTickMark val="out"/>
        <c:minorTickMark val="out"/>
        <c:tickLblPos val="nextTo"/>
        <c:spPr>
          <a:ln w="12700">
            <a:solidFill>
              <a:srgbClr val="808080"/>
            </a:solidFill>
            <a:prstDash val="solid"/>
          </a:ln>
        </c:spPr>
        <c:txPr>
          <a:bodyPr/>
          <a:lstStyle/>
          <a:p>
            <a:pPr>
              <a:defRPr sz="900" b="0" i="0">
                <a:latin typeface="Calibri"/>
                <a:ea typeface="Calibri"/>
                <a:cs typeface="Calibri"/>
              </a:defRPr>
            </a:pPr>
            <a:endParaRPr lang="en-US"/>
          </a:p>
        </c:txPr>
        <c:crossAx val="360686616"/>
        <c:crosses val="min"/>
        <c:crossBetween val="midCat"/>
        <c:majorUnit val="20"/>
        <c:minorUnit val="10"/>
      </c:valAx>
      <c:valAx>
        <c:axId val="360686616"/>
        <c:scaling>
          <c:orientation val="minMax"/>
          <c:max val="130"/>
          <c:min val="0"/>
        </c:scaling>
        <c:delete val="0"/>
        <c:axPos val="l"/>
        <c:title>
          <c:tx>
            <c:rich>
              <a:bodyPr/>
              <a:lstStyle/>
              <a:p>
                <a:pPr>
                  <a:defRPr sz="1000" b="0" i="0">
                    <a:latin typeface="Calibri"/>
                    <a:ea typeface="Calibri"/>
                    <a:cs typeface="Calibri"/>
                  </a:defRPr>
                </a:pPr>
                <a:r>
                  <a:rPr lang="en-GB"/>
                  <a:t>New method (Alinity)</a:t>
                </a:r>
              </a:p>
            </c:rich>
          </c:tx>
          <c:overlay val="0"/>
        </c:title>
        <c:numFmt formatCode="General" sourceLinked="0"/>
        <c:majorTickMark val="out"/>
        <c:minorTickMark val="out"/>
        <c:tickLblPos val="nextTo"/>
        <c:spPr>
          <a:ln w="12700">
            <a:solidFill>
              <a:srgbClr val="808080"/>
            </a:solidFill>
            <a:prstDash val="solid"/>
          </a:ln>
        </c:spPr>
        <c:txPr>
          <a:bodyPr/>
          <a:lstStyle/>
          <a:p>
            <a:pPr>
              <a:defRPr sz="900" b="0" i="0">
                <a:latin typeface="Calibri"/>
                <a:ea typeface="Calibri"/>
                <a:cs typeface="Calibri"/>
              </a:defRPr>
            </a:pPr>
            <a:endParaRPr lang="en-US"/>
          </a:p>
        </c:txPr>
        <c:crossAx val="360687792"/>
        <c:crosses val="min"/>
        <c:crossBetween val="midCat"/>
        <c:majorUnit val="20"/>
        <c:minorUnit val="10"/>
      </c:valAx>
    </c:plotArea>
    <c:legend>
      <c:legendPos val="r"/>
      <c:legendEntry>
        <c:idx val="0"/>
        <c:delete val="1"/>
      </c:legendEntry>
      <c:legendEntry>
        <c:idx val="1"/>
        <c:delete val="1"/>
      </c:legendEntry>
      <c:legendEntry>
        <c:idx val="2"/>
        <c:delete val="1"/>
      </c:legendEntry>
      <c:layout>
        <c:manualLayout>
          <c:xMode val="edge"/>
          <c:yMode val="edge"/>
          <c:x val="0.42141625153998608"/>
          <c:y val="0.5573828271466067"/>
          <c:w val="0.48788080061420896"/>
          <c:h val="0.1496030183727034"/>
        </c:manualLayout>
      </c:layout>
      <c:overlay val="1"/>
      <c:txPr>
        <a:bodyPr/>
        <a:lstStyle/>
        <a:p>
          <a:pPr>
            <a:defRPr sz="900" b="0" i="0">
              <a:latin typeface="Calibri"/>
              <a:ea typeface="Calibri"/>
              <a:cs typeface="Calibri"/>
            </a:defRPr>
          </a:pPr>
          <a:endParaRPr lang="en-US"/>
        </a:p>
      </c:txPr>
    </c:legend>
    <c:plotVisOnly val="0"/>
    <c:dispBlanksAs val="gap"/>
    <c:showDLblsOverMax val="0"/>
  </c:chart>
  <c:spPr>
    <a:ln w="12700">
      <a:solidFill>
        <a:srgbClr val="F0F0F0"/>
      </a:solidFill>
      <a:prstDash val="solid"/>
    </a:ln>
  </c:sp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23975156951534901"/>
          <c:y val="1.9444444444444445E-2"/>
          <c:w val="0.68550661936488722"/>
          <c:h val="0.74813694748333459"/>
        </c:manualLayout>
      </c:layout>
      <c:scatterChart>
        <c:scatterStyle val="lineMarker"/>
        <c:varyColors val="0"/>
        <c:ser>
          <c:idx val="0"/>
          <c:order val="0"/>
          <c:tx>
            <c:v/>
          </c:tx>
          <c:spPr>
            <a:ln w="19050">
              <a:noFill/>
            </a:ln>
          </c:spPr>
          <c:marker>
            <c:symbol val="none"/>
          </c:marker>
          <c:smooth val="0"/>
          <c:extLst xmlns:c16r2="http://schemas.microsoft.com/office/drawing/2015/06/chart">
            <c:ext xmlns:c16="http://schemas.microsoft.com/office/drawing/2014/chart" uri="{C3380CC4-5D6E-409C-BE32-E72D297353CC}">
              <c16:uniqueId val="{00000000-B264-4586-9AFF-C28CE903525C}"/>
            </c:ext>
          </c:extLst>
        </c:ser>
        <c:ser>
          <c:idx val="1"/>
          <c:order val="1"/>
          <c:tx>
            <c:v>Identity</c:v>
          </c:tx>
          <c:spPr>
            <a:ln w="12700">
              <a:solidFill>
                <a:srgbClr val="B0B0B0"/>
              </a:solidFill>
              <a:prstDash val="solid"/>
            </a:ln>
          </c:spPr>
          <c:marker>
            <c:symbol val="none"/>
          </c:marker>
          <c:xVal>
            <c:numRef>
              <c:f>'Old method, New method 4'!$KO$1:$KO$2</c:f>
              <c:numCache>
                <c:formatCode>General</c:formatCode>
                <c:ptCount val="2"/>
                <c:pt idx="0">
                  <c:v>0</c:v>
                </c:pt>
                <c:pt idx="1">
                  <c:v>7000</c:v>
                </c:pt>
              </c:numCache>
            </c:numRef>
          </c:xVal>
          <c:yVal>
            <c:numRef>
              <c:f>'Old method, New method 4'!$KO$3:$KO$4</c:f>
              <c:numCache>
                <c:formatCode>General</c:formatCode>
                <c:ptCount val="2"/>
                <c:pt idx="0">
                  <c:v>0</c:v>
                </c:pt>
                <c:pt idx="1">
                  <c:v>7000</c:v>
                </c:pt>
              </c:numCache>
            </c:numRef>
          </c:yVal>
          <c:smooth val="0"/>
          <c:extLst xmlns:c16r2="http://schemas.microsoft.com/office/drawing/2015/06/chart">
            <c:ext xmlns:c16="http://schemas.microsoft.com/office/drawing/2014/chart" uri="{C3380CC4-5D6E-409C-BE32-E72D297353CC}">
              <c16:uniqueId val="{00000001-B264-4586-9AFF-C28CE903525C}"/>
            </c:ext>
          </c:extLst>
        </c:ser>
        <c:ser>
          <c:idx val="2"/>
          <c:order val="2"/>
          <c:tx>
            <c:v/>
          </c:tx>
          <c:spPr>
            <a:ln w="19050">
              <a:noFill/>
            </a:ln>
          </c:spPr>
          <c:marker>
            <c:symbol val="square"/>
            <c:size val="4"/>
            <c:spPr>
              <a:solidFill>
                <a:srgbClr val="404040">
                  <a:alpha val="75000"/>
                </a:srgbClr>
              </a:solidFill>
              <a:ln w="6350">
                <a:noFill/>
              </a:ln>
            </c:spPr>
          </c:marker>
          <c:xVal>
            <c:numRef>
              <c:f>'Old method, New method 4'!$KO$5:$KO$31</c:f>
              <c:numCache>
                <c:formatCode>General</c:formatCode>
                <c:ptCount val="27"/>
                <c:pt idx="0">
                  <c:v>4.5999999999999996</c:v>
                </c:pt>
                <c:pt idx="1">
                  <c:v>6.5</c:v>
                </c:pt>
                <c:pt idx="2">
                  <c:v>16.5</c:v>
                </c:pt>
                <c:pt idx="3">
                  <c:v>26.7</c:v>
                </c:pt>
                <c:pt idx="4">
                  <c:v>31.6</c:v>
                </c:pt>
                <c:pt idx="5">
                  <c:v>31.8</c:v>
                </c:pt>
                <c:pt idx="6">
                  <c:v>35.5</c:v>
                </c:pt>
                <c:pt idx="7">
                  <c:v>36.299999999999997</c:v>
                </c:pt>
                <c:pt idx="8">
                  <c:v>40.799999999999997</c:v>
                </c:pt>
                <c:pt idx="9">
                  <c:v>58.1</c:v>
                </c:pt>
                <c:pt idx="10">
                  <c:v>66.8</c:v>
                </c:pt>
                <c:pt idx="11">
                  <c:v>76.3</c:v>
                </c:pt>
                <c:pt idx="12">
                  <c:v>88.4</c:v>
                </c:pt>
                <c:pt idx="13">
                  <c:v>89.3</c:v>
                </c:pt>
                <c:pt idx="14">
                  <c:v>92.7</c:v>
                </c:pt>
                <c:pt idx="15">
                  <c:v>138.1</c:v>
                </c:pt>
                <c:pt idx="16">
                  <c:v>142.30000000000001</c:v>
                </c:pt>
                <c:pt idx="17">
                  <c:v>157.5</c:v>
                </c:pt>
                <c:pt idx="18">
                  <c:v>228.1</c:v>
                </c:pt>
                <c:pt idx="19">
                  <c:v>268.8</c:v>
                </c:pt>
                <c:pt idx="20">
                  <c:v>284.89999999999998</c:v>
                </c:pt>
                <c:pt idx="21">
                  <c:v>419</c:v>
                </c:pt>
                <c:pt idx="22">
                  <c:v>567.79999999999995</c:v>
                </c:pt>
                <c:pt idx="23">
                  <c:v>1511.7</c:v>
                </c:pt>
                <c:pt idx="24">
                  <c:v>1569</c:v>
                </c:pt>
                <c:pt idx="25">
                  <c:v>1928.4</c:v>
                </c:pt>
                <c:pt idx="26">
                  <c:v>4504.8</c:v>
                </c:pt>
              </c:numCache>
            </c:numRef>
          </c:xVal>
          <c:yVal>
            <c:numRef>
              <c:f>'Old method, New method 4'!$KO$32:$KO$58</c:f>
              <c:numCache>
                <c:formatCode>General</c:formatCode>
                <c:ptCount val="27"/>
                <c:pt idx="0">
                  <c:v>5.6</c:v>
                </c:pt>
                <c:pt idx="1">
                  <c:v>7.4</c:v>
                </c:pt>
                <c:pt idx="2">
                  <c:v>17.899999999999999</c:v>
                </c:pt>
                <c:pt idx="3">
                  <c:v>41.1</c:v>
                </c:pt>
                <c:pt idx="4">
                  <c:v>36.4</c:v>
                </c:pt>
                <c:pt idx="5">
                  <c:v>42.6</c:v>
                </c:pt>
                <c:pt idx="6">
                  <c:v>47.9</c:v>
                </c:pt>
                <c:pt idx="7">
                  <c:v>40.799999999999997</c:v>
                </c:pt>
                <c:pt idx="8">
                  <c:v>49.9</c:v>
                </c:pt>
                <c:pt idx="9">
                  <c:v>73</c:v>
                </c:pt>
                <c:pt idx="10">
                  <c:v>81.599999999999994</c:v>
                </c:pt>
                <c:pt idx="11">
                  <c:v>101.6</c:v>
                </c:pt>
                <c:pt idx="12">
                  <c:v>121.3</c:v>
                </c:pt>
                <c:pt idx="13">
                  <c:v>123.8</c:v>
                </c:pt>
                <c:pt idx="14">
                  <c:v>120.5</c:v>
                </c:pt>
                <c:pt idx="15">
                  <c:v>164.1</c:v>
                </c:pt>
                <c:pt idx="16">
                  <c:v>177.8</c:v>
                </c:pt>
                <c:pt idx="17">
                  <c:v>228.7</c:v>
                </c:pt>
                <c:pt idx="18">
                  <c:v>361.8</c:v>
                </c:pt>
                <c:pt idx="19">
                  <c:v>434.1</c:v>
                </c:pt>
                <c:pt idx="20">
                  <c:v>384.5</c:v>
                </c:pt>
                <c:pt idx="21">
                  <c:v>564.6</c:v>
                </c:pt>
                <c:pt idx="22">
                  <c:v>949.2</c:v>
                </c:pt>
                <c:pt idx="23">
                  <c:v>2231.1999999999998</c:v>
                </c:pt>
                <c:pt idx="24">
                  <c:v>2142.4</c:v>
                </c:pt>
                <c:pt idx="25">
                  <c:v>2867.7</c:v>
                </c:pt>
                <c:pt idx="26">
                  <c:v>6859.6</c:v>
                </c:pt>
              </c:numCache>
            </c:numRef>
          </c:yVal>
          <c:smooth val="0"/>
          <c:extLst xmlns:c16r2="http://schemas.microsoft.com/office/drawing/2015/06/chart">
            <c:ext xmlns:c16="http://schemas.microsoft.com/office/drawing/2014/chart" uri="{C3380CC4-5D6E-409C-BE32-E72D297353CC}">
              <c16:uniqueId val="{00000002-B264-4586-9AFF-C28CE903525C}"/>
            </c:ext>
          </c:extLst>
        </c:ser>
        <c:ser>
          <c:idx val="3"/>
          <c:order val="3"/>
          <c:tx>
            <c:v>Passing-Bablok fit
(y = -7.075 + 1.466 x)</c:v>
          </c:tx>
          <c:spPr>
            <a:ln w="25400">
              <a:solidFill>
                <a:srgbClr val="E61C1B"/>
              </a:solidFill>
              <a:prstDash val="solid"/>
            </a:ln>
          </c:spPr>
          <c:marker>
            <c:symbol val="none"/>
          </c:marker>
          <c:xVal>
            <c:numRef>
              <c:f>'Old method, New method 4'!$KO$59:$KO$60</c:f>
              <c:numCache>
                <c:formatCode>General</c:formatCode>
                <c:ptCount val="2"/>
                <c:pt idx="0">
                  <c:v>4.5999999999999996</c:v>
                </c:pt>
                <c:pt idx="1">
                  <c:v>4504.8</c:v>
                </c:pt>
              </c:numCache>
            </c:numRef>
          </c:xVal>
          <c:yVal>
            <c:numRef>
              <c:f>'Old method, New method 4'!$KO$61:$KO$62</c:f>
              <c:numCache>
                <c:formatCode>General</c:formatCode>
                <c:ptCount val="2"/>
                <c:pt idx="0">
                  <c:v>-0.33317880794701943</c:v>
                </c:pt>
                <c:pt idx="1">
                  <c:v>6594.9930463576165</c:v>
                </c:pt>
              </c:numCache>
            </c:numRef>
          </c:yVal>
          <c:smooth val="0"/>
          <c:extLst xmlns:c16r2="http://schemas.microsoft.com/office/drawing/2015/06/chart">
            <c:ext xmlns:c16="http://schemas.microsoft.com/office/drawing/2014/chart" uri="{C3380CC4-5D6E-409C-BE32-E72D297353CC}">
              <c16:uniqueId val="{00000003-B264-4586-9AFF-C28CE903525C}"/>
            </c:ext>
          </c:extLst>
        </c:ser>
        <c:dLbls>
          <c:showLegendKey val="0"/>
          <c:showVal val="0"/>
          <c:showCatName val="0"/>
          <c:showSerName val="0"/>
          <c:showPercent val="0"/>
          <c:showBubbleSize val="0"/>
        </c:dLbls>
        <c:axId val="360684656"/>
        <c:axId val="360685048"/>
      </c:scatterChart>
      <c:valAx>
        <c:axId val="360684656"/>
        <c:scaling>
          <c:orientation val="minMax"/>
          <c:max val="7000"/>
          <c:min val="0"/>
        </c:scaling>
        <c:delete val="0"/>
        <c:axPos val="b"/>
        <c:title>
          <c:tx>
            <c:rich>
              <a:bodyPr/>
              <a:lstStyle/>
              <a:p>
                <a:pPr>
                  <a:defRPr sz="1000" b="0" i="0">
                    <a:latin typeface="Calibri"/>
                    <a:ea typeface="Calibri"/>
                    <a:cs typeface="Calibri"/>
                  </a:defRPr>
                </a:pPr>
                <a:r>
                  <a:rPr lang="en-GB"/>
                  <a:t>Old method (Centaur)</a:t>
                </a:r>
              </a:p>
            </c:rich>
          </c:tx>
          <c:overlay val="0"/>
        </c:title>
        <c:numFmt formatCode="General" sourceLinked="0"/>
        <c:majorTickMark val="out"/>
        <c:minorTickMark val="out"/>
        <c:tickLblPos val="nextTo"/>
        <c:spPr>
          <a:ln w="12700">
            <a:solidFill>
              <a:srgbClr val="808080"/>
            </a:solidFill>
            <a:prstDash val="solid"/>
          </a:ln>
        </c:spPr>
        <c:txPr>
          <a:bodyPr/>
          <a:lstStyle/>
          <a:p>
            <a:pPr>
              <a:defRPr sz="900" b="0" i="0">
                <a:latin typeface="Calibri"/>
                <a:ea typeface="Calibri"/>
                <a:cs typeface="Calibri"/>
              </a:defRPr>
            </a:pPr>
            <a:endParaRPr lang="en-US"/>
          </a:p>
        </c:txPr>
        <c:crossAx val="360685048"/>
        <c:crosses val="min"/>
        <c:crossBetween val="midCat"/>
        <c:majorUnit val="1000"/>
        <c:minorUnit val="1000"/>
      </c:valAx>
      <c:valAx>
        <c:axId val="360685048"/>
        <c:scaling>
          <c:orientation val="minMax"/>
          <c:max val="7000"/>
          <c:min val="0"/>
        </c:scaling>
        <c:delete val="0"/>
        <c:axPos val="l"/>
        <c:title>
          <c:tx>
            <c:rich>
              <a:bodyPr/>
              <a:lstStyle/>
              <a:p>
                <a:pPr>
                  <a:defRPr sz="1000" b="0" i="0">
                    <a:latin typeface="Calibri"/>
                    <a:ea typeface="Calibri"/>
                    <a:cs typeface="Calibri"/>
                  </a:defRPr>
                </a:pPr>
                <a:r>
                  <a:rPr lang="en-GB"/>
                  <a:t>New method (Alinity)</a:t>
                </a:r>
              </a:p>
            </c:rich>
          </c:tx>
          <c:overlay val="0"/>
        </c:title>
        <c:numFmt formatCode="General" sourceLinked="0"/>
        <c:majorTickMark val="out"/>
        <c:minorTickMark val="out"/>
        <c:tickLblPos val="nextTo"/>
        <c:spPr>
          <a:ln w="12700">
            <a:solidFill>
              <a:srgbClr val="808080"/>
            </a:solidFill>
            <a:prstDash val="solid"/>
          </a:ln>
        </c:spPr>
        <c:txPr>
          <a:bodyPr/>
          <a:lstStyle/>
          <a:p>
            <a:pPr>
              <a:defRPr sz="900" b="0" i="0">
                <a:latin typeface="Calibri"/>
                <a:ea typeface="Calibri"/>
                <a:cs typeface="Calibri"/>
              </a:defRPr>
            </a:pPr>
            <a:endParaRPr lang="en-US"/>
          </a:p>
        </c:txPr>
        <c:crossAx val="360684656"/>
        <c:crosses val="min"/>
        <c:crossBetween val="midCat"/>
        <c:majorUnit val="1000"/>
        <c:minorUnit val="1000"/>
      </c:valAx>
    </c:plotArea>
    <c:legend>
      <c:legendPos val="r"/>
      <c:legendEntry>
        <c:idx val="0"/>
        <c:delete val="1"/>
      </c:legendEntry>
      <c:legendEntry>
        <c:idx val="1"/>
        <c:delete val="1"/>
      </c:legendEntry>
      <c:legendEntry>
        <c:idx val="2"/>
        <c:delete val="1"/>
      </c:legendEntry>
      <c:layout>
        <c:manualLayout>
          <c:xMode val="edge"/>
          <c:yMode val="edge"/>
          <c:x val="0.42050320632997801"/>
          <c:y val="0.53262536873156341"/>
          <c:w val="0.52088873506196354"/>
          <c:h val="0.20791536013750495"/>
        </c:manualLayout>
      </c:layout>
      <c:overlay val="1"/>
      <c:txPr>
        <a:bodyPr/>
        <a:lstStyle/>
        <a:p>
          <a:pPr>
            <a:defRPr sz="900" b="0" i="0">
              <a:latin typeface="Calibri"/>
              <a:ea typeface="Calibri"/>
              <a:cs typeface="Calibri"/>
            </a:defRPr>
          </a:pPr>
          <a:endParaRPr lang="en-US"/>
        </a:p>
      </c:txPr>
    </c:legend>
    <c:plotVisOnly val="0"/>
    <c:dispBlanksAs val="gap"/>
    <c:showDLblsOverMax val="0"/>
  </c:chart>
  <c:spPr>
    <a:ln w="12700">
      <a:solidFill>
        <a:srgbClr val="F0F0F0"/>
      </a:solidFill>
      <a:prstDash val="solid"/>
    </a:ln>
  </c:sp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24272662562100519"/>
          <c:y val="1.9444444444444445E-2"/>
          <c:w val="0.54861966229058279"/>
          <c:h val="0.73309355056610237"/>
        </c:manualLayout>
      </c:layout>
      <c:scatterChart>
        <c:scatterStyle val="lineMarker"/>
        <c:varyColors val="0"/>
        <c:ser>
          <c:idx val="0"/>
          <c:order val="0"/>
          <c:tx>
            <c:v/>
          </c:tx>
          <c:spPr>
            <a:ln w="19050">
              <a:noFill/>
            </a:ln>
          </c:spPr>
          <c:marker>
            <c:symbol val="none"/>
          </c:marker>
          <c:smooth val="0"/>
          <c:extLst xmlns:c16r2="http://schemas.microsoft.com/office/drawing/2015/06/chart">
            <c:ext xmlns:c16="http://schemas.microsoft.com/office/drawing/2014/chart" uri="{C3380CC4-5D6E-409C-BE32-E72D297353CC}">
              <c16:uniqueId val="{00000000-2959-4201-AE92-13E6D4A770B9}"/>
            </c:ext>
          </c:extLst>
        </c:ser>
        <c:ser>
          <c:idx val="1"/>
          <c:order val="1"/>
          <c:tx>
            <c:v>Identity</c:v>
          </c:tx>
          <c:spPr>
            <a:ln w="12700">
              <a:solidFill>
                <a:srgbClr val="B0B0B0"/>
              </a:solidFill>
              <a:prstDash val="solid"/>
            </a:ln>
          </c:spPr>
          <c:marker>
            <c:symbol val="none"/>
          </c:marker>
          <c:xVal>
            <c:numRef>
              <c:f>'Old method, New method 5'!$KO$1:$KO$2</c:f>
              <c:numCache>
                <c:formatCode>General</c:formatCode>
                <c:ptCount val="2"/>
                <c:pt idx="0">
                  <c:v>0</c:v>
                </c:pt>
                <c:pt idx="1">
                  <c:v>2400</c:v>
                </c:pt>
              </c:numCache>
            </c:numRef>
          </c:xVal>
          <c:yVal>
            <c:numRef>
              <c:f>'Old method, New method 5'!$KO$3:$KO$4</c:f>
              <c:numCache>
                <c:formatCode>General</c:formatCode>
                <c:ptCount val="2"/>
                <c:pt idx="0">
                  <c:v>0</c:v>
                </c:pt>
                <c:pt idx="1">
                  <c:v>2400</c:v>
                </c:pt>
              </c:numCache>
            </c:numRef>
          </c:yVal>
          <c:smooth val="0"/>
          <c:extLst xmlns:c16r2="http://schemas.microsoft.com/office/drawing/2015/06/chart">
            <c:ext xmlns:c16="http://schemas.microsoft.com/office/drawing/2014/chart" uri="{C3380CC4-5D6E-409C-BE32-E72D297353CC}">
              <c16:uniqueId val="{00000001-2959-4201-AE92-13E6D4A770B9}"/>
            </c:ext>
          </c:extLst>
        </c:ser>
        <c:ser>
          <c:idx val="2"/>
          <c:order val="2"/>
          <c:tx>
            <c:v/>
          </c:tx>
          <c:spPr>
            <a:ln w="19050">
              <a:noFill/>
            </a:ln>
          </c:spPr>
          <c:marker>
            <c:symbol val="square"/>
            <c:size val="4"/>
            <c:spPr>
              <a:solidFill>
                <a:srgbClr val="404040">
                  <a:alpha val="75000"/>
                </a:srgbClr>
              </a:solidFill>
              <a:ln w="6350">
                <a:noFill/>
              </a:ln>
            </c:spPr>
          </c:marker>
          <c:xVal>
            <c:numRef>
              <c:f>'Old method, New method 5'!$KO$5:$KO$35</c:f>
              <c:numCache>
                <c:formatCode>General</c:formatCode>
                <c:ptCount val="31"/>
                <c:pt idx="0">
                  <c:v>7</c:v>
                </c:pt>
                <c:pt idx="1">
                  <c:v>9</c:v>
                </c:pt>
                <c:pt idx="2">
                  <c:v>11</c:v>
                </c:pt>
                <c:pt idx="3">
                  <c:v>11</c:v>
                </c:pt>
                <c:pt idx="4">
                  <c:v>14</c:v>
                </c:pt>
                <c:pt idx="5">
                  <c:v>11</c:v>
                </c:pt>
                <c:pt idx="6">
                  <c:v>18</c:v>
                </c:pt>
                <c:pt idx="7">
                  <c:v>17</c:v>
                </c:pt>
                <c:pt idx="8">
                  <c:v>20</c:v>
                </c:pt>
                <c:pt idx="9">
                  <c:v>23</c:v>
                </c:pt>
                <c:pt idx="10">
                  <c:v>24</c:v>
                </c:pt>
                <c:pt idx="11">
                  <c:v>30</c:v>
                </c:pt>
                <c:pt idx="12">
                  <c:v>32</c:v>
                </c:pt>
                <c:pt idx="13">
                  <c:v>29</c:v>
                </c:pt>
                <c:pt idx="14">
                  <c:v>35</c:v>
                </c:pt>
                <c:pt idx="15">
                  <c:v>39</c:v>
                </c:pt>
                <c:pt idx="16">
                  <c:v>42</c:v>
                </c:pt>
                <c:pt idx="17">
                  <c:v>89</c:v>
                </c:pt>
                <c:pt idx="18">
                  <c:v>63</c:v>
                </c:pt>
                <c:pt idx="19">
                  <c:v>68</c:v>
                </c:pt>
                <c:pt idx="20">
                  <c:v>79</c:v>
                </c:pt>
                <c:pt idx="21">
                  <c:v>95</c:v>
                </c:pt>
                <c:pt idx="22">
                  <c:v>115</c:v>
                </c:pt>
                <c:pt idx="23">
                  <c:v>101</c:v>
                </c:pt>
                <c:pt idx="24">
                  <c:v>115</c:v>
                </c:pt>
                <c:pt idx="25">
                  <c:v>182</c:v>
                </c:pt>
                <c:pt idx="26">
                  <c:v>160</c:v>
                </c:pt>
                <c:pt idx="27">
                  <c:v>178</c:v>
                </c:pt>
                <c:pt idx="28">
                  <c:v>478</c:v>
                </c:pt>
                <c:pt idx="29">
                  <c:v>979</c:v>
                </c:pt>
                <c:pt idx="30">
                  <c:v>1740</c:v>
                </c:pt>
              </c:numCache>
            </c:numRef>
          </c:xVal>
          <c:yVal>
            <c:numRef>
              <c:f>'Old method, New method 5'!$KO$36:$KO$66</c:f>
              <c:numCache>
                <c:formatCode>General</c:formatCode>
                <c:ptCount val="31"/>
                <c:pt idx="0">
                  <c:v>7</c:v>
                </c:pt>
                <c:pt idx="1">
                  <c:v>10</c:v>
                </c:pt>
                <c:pt idx="2">
                  <c:v>12</c:v>
                </c:pt>
                <c:pt idx="3">
                  <c:v>13</c:v>
                </c:pt>
                <c:pt idx="4">
                  <c:v>14</c:v>
                </c:pt>
                <c:pt idx="5">
                  <c:v>15</c:v>
                </c:pt>
                <c:pt idx="6">
                  <c:v>18</c:v>
                </c:pt>
                <c:pt idx="7">
                  <c:v>19</c:v>
                </c:pt>
                <c:pt idx="8">
                  <c:v>20</c:v>
                </c:pt>
                <c:pt idx="9">
                  <c:v>26</c:v>
                </c:pt>
                <c:pt idx="10">
                  <c:v>28</c:v>
                </c:pt>
                <c:pt idx="11">
                  <c:v>30</c:v>
                </c:pt>
                <c:pt idx="12">
                  <c:v>31</c:v>
                </c:pt>
                <c:pt idx="13">
                  <c:v>33</c:v>
                </c:pt>
                <c:pt idx="14">
                  <c:v>36</c:v>
                </c:pt>
                <c:pt idx="15">
                  <c:v>39</c:v>
                </c:pt>
                <c:pt idx="16">
                  <c:v>56</c:v>
                </c:pt>
                <c:pt idx="17">
                  <c:v>80</c:v>
                </c:pt>
                <c:pt idx="18">
                  <c:v>82</c:v>
                </c:pt>
                <c:pt idx="19">
                  <c:v>84</c:v>
                </c:pt>
                <c:pt idx="20">
                  <c:v>95</c:v>
                </c:pt>
                <c:pt idx="21">
                  <c:v>104</c:v>
                </c:pt>
                <c:pt idx="22">
                  <c:v>123</c:v>
                </c:pt>
                <c:pt idx="23">
                  <c:v>136</c:v>
                </c:pt>
                <c:pt idx="24">
                  <c:v>153</c:v>
                </c:pt>
                <c:pt idx="25">
                  <c:v>199</c:v>
                </c:pt>
                <c:pt idx="26">
                  <c:v>225</c:v>
                </c:pt>
                <c:pt idx="27">
                  <c:v>258</c:v>
                </c:pt>
                <c:pt idx="28">
                  <c:v>505</c:v>
                </c:pt>
                <c:pt idx="29">
                  <c:v>936</c:v>
                </c:pt>
                <c:pt idx="30">
                  <c:v>2277</c:v>
                </c:pt>
              </c:numCache>
            </c:numRef>
          </c:yVal>
          <c:smooth val="0"/>
          <c:extLst xmlns:c16r2="http://schemas.microsoft.com/office/drawing/2015/06/chart">
            <c:ext xmlns:c16="http://schemas.microsoft.com/office/drawing/2014/chart" uri="{C3380CC4-5D6E-409C-BE32-E72D297353CC}">
              <c16:uniqueId val="{00000002-2959-4201-AE92-13E6D4A770B9}"/>
            </c:ext>
          </c:extLst>
        </c:ser>
        <c:ser>
          <c:idx val="3"/>
          <c:order val="3"/>
          <c:tx>
            <c:v>Passing-Bablok fit
(y = -0.8333 + 1.167 x)</c:v>
          </c:tx>
          <c:spPr>
            <a:ln w="25400">
              <a:solidFill>
                <a:srgbClr val="E61C1B"/>
              </a:solidFill>
              <a:prstDash val="solid"/>
            </a:ln>
          </c:spPr>
          <c:marker>
            <c:symbol val="none"/>
          </c:marker>
          <c:xVal>
            <c:numRef>
              <c:f>'Old method, New method 5'!$KO$67:$KO$68</c:f>
              <c:numCache>
                <c:formatCode>General</c:formatCode>
                <c:ptCount val="2"/>
                <c:pt idx="0">
                  <c:v>7</c:v>
                </c:pt>
                <c:pt idx="1">
                  <c:v>1740</c:v>
                </c:pt>
              </c:numCache>
            </c:numRef>
          </c:xVal>
          <c:yVal>
            <c:numRef>
              <c:f>'Old method, New method 5'!$KO$69:$KO$70</c:f>
              <c:numCache>
                <c:formatCode>General</c:formatCode>
                <c:ptCount val="2"/>
                <c:pt idx="0">
                  <c:v>7.3333333333333321</c:v>
                </c:pt>
                <c:pt idx="1">
                  <c:v>2029.1666666666667</c:v>
                </c:pt>
              </c:numCache>
            </c:numRef>
          </c:yVal>
          <c:smooth val="0"/>
          <c:extLst xmlns:c16r2="http://schemas.microsoft.com/office/drawing/2015/06/chart">
            <c:ext xmlns:c16="http://schemas.microsoft.com/office/drawing/2014/chart" uri="{C3380CC4-5D6E-409C-BE32-E72D297353CC}">
              <c16:uniqueId val="{00000003-2959-4201-AE92-13E6D4A770B9}"/>
            </c:ext>
          </c:extLst>
        </c:ser>
        <c:dLbls>
          <c:showLegendKey val="0"/>
          <c:showVal val="0"/>
          <c:showCatName val="0"/>
          <c:showSerName val="0"/>
          <c:showPercent val="0"/>
          <c:showBubbleSize val="0"/>
        </c:dLbls>
        <c:axId val="360685832"/>
        <c:axId val="360687400"/>
      </c:scatterChart>
      <c:valAx>
        <c:axId val="360685832"/>
        <c:scaling>
          <c:orientation val="minMax"/>
          <c:max val="2400"/>
          <c:min val="0"/>
        </c:scaling>
        <c:delete val="0"/>
        <c:axPos val="b"/>
        <c:title>
          <c:tx>
            <c:rich>
              <a:bodyPr/>
              <a:lstStyle/>
              <a:p>
                <a:pPr>
                  <a:defRPr sz="1000" b="0" i="0">
                    <a:latin typeface="Calibri"/>
                    <a:ea typeface="Calibri"/>
                    <a:cs typeface="Calibri"/>
                  </a:defRPr>
                </a:pPr>
                <a:r>
                  <a:rPr lang="en-GB"/>
                  <a:t>Old method (Centaur)</a:t>
                </a:r>
              </a:p>
            </c:rich>
          </c:tx>
          <c:overlay val="0"/>
        </c:title>
        <c:numFmt formatCode="General" sourceLinked="0"/>
        <c:majorTickMark val="out"/>
        <c:minorTickMark val="out"/>
        <c:tickLblPos val="nextTo"/>
        <c:spPr>
          <a:ln w="12700">
            <a:solidFill>
              <a:srgbClr val="808080"/>
            </a:solidFill>
            <a:prstDash val="solid"/>
          </a:ln>
        </c:spPr>
        <c:txPr>
          <a:bodyPr/>
          <a:lstStyle/>
          <a:p>
            <a:pPr>
              <a:defRPr sz="900" b="0" i="0">
                <a:latin typeface="Calibri"/>
                <a:ea typeface="Calibri"/>
                <a:cs typeface="Calibri"/>
              </a:defRPr>
            </a:pPr>
            <a:endParaRPr lang="en-US"/>
          </a:p>
        </c:txPr>
        <c:crossAx val="360687400"/>
        <c:crosses val="min"/>
        <c:crossBetween val="midCat"/>
        <c:majorUnit val="400"/>
        <c:minorUnit val="200"/>
      </c:valAx>
      <c:valAx>
        <c:axId val="360687400"/>
        <c:scaling>
          <c:orientation val="minMax"/>
          <c:max val="2400"/>
          <c:min val="0"/>
        </c:scaling>
        <c:delete val="0"/>
        <c:axPos val="l"/>
        <c:title>
          <c:tx>
            <c:rich>
              <a:bodyPr/>
              <a:lstStyle/>
              <a:p>
                <a:pPr>
                  <a:defRPr sz="1000" b="0" i="0">
                    <a:latin typeface="Calibri"/>
                    <a:ea typeface="Calibri"/>
                    <a:cs typeface="Calibri"/>
                  </a:defRPr>
                </a:pPr>
                <a:r>
                  <a:rPr lang="en-GB"/>
                  <a:t>New method (Alinity)</a:t>
                </a:r>
              </a:p>
            </c:rich>
          </c:tx>
          <c:overlay val="0"/>
        </c:title>
        <c:numFmt formatCode="General" sourceLinked="0"/>
        <c:majorTickMark val="out"/>
        <c:minorTickMark val="out"/>
        <c:tickLblPos val="nextTo"/>
        <c:spPr>
          <a:ln w="12700">
            <a:solidFill>
              <a:srgbClr val="808080"/>
            </a:solidFill>
            <a:prstDash val="solid"/>
          </a:ln>
        </c:spPr>
        <c:txPr>
          <a:bodyPr/>
          <a:lstStyle/>
          <a:p>
            <a:pPr>
              <a:defRPr sz="900" b="0" i="0">
                <a:latin typeface="Calibri"/>
                <a:ea typeface="Calibri"/>
                <a:cs typeface="Calibri"/>
              </a:defRPr>
            </a:pPr>
            <a:endParaRPr lang="en-US"/>
          </a:p>
        </c:txPr>
        <c:crossAx val="360685832"/>
        <c:crosses val="min"/>
        <c:crossBetween val="midCat"/>
        <c:majorUnit val="400"/>
        <c:minorUnit val="200"/>
      </c:valAx>
    </c:plotArea>
    <c:legend>
      <c:legendPos val="r"/>
      <c:legendEntry>
        <c:idx val="0"/>
        <c:delete val="1"/>
      </c:legendEntry>
      <c:legendEntry>
        <c:idx val="1"/>
        <c:delete val="1"/>
      </c:legendEntry>
      <c:legendEntry>
        <c:idx val="2"/>
        <c:delete val="1"/>
      </c:legendEntry>
      <c:layout>
        <c:manualLayout>
          <c:xMode val="edge"/>
          <c:yMode val="edge"/>
          <c:x val="0.41645324390369193"/>
          <c:y val="0.57367749805922152"/>
          <c:w val="0.54626809812799493"/>
          <c:h val="0.16825289604484459"/>
        </c:manualLayout>
      </c:layout>
      <c:overlay val="1"/>
      <c:txPr>
        <a:bodyPr/>
        <a:lstStyle/>
        <a:p>
          <a:pPr>
            <a:defRPr sz="900" b="0" i="0">
              <a:latin typeface="Calibri"/>
              <a:ea typeface="Calibri"/>
              <a:cs typeface="Calibri"/>
            </a:defRPr>
          </a:pPr>
          <a:endParaRPr lang="en-US"/>
        </a:p>
      </c:txPr>
    </c:legend>
    <c:plotVisOnly val="0"/>
    <c:dispBlanksAs val="gap"/>
    <c:showDLblsOverMax val="0"/>
  </c:chart>
  <c:spPr>
    <a:ln w="12700">
      <a:solidFill>
        <a:srgbClr val="F0F0F0"/>
      </a:solidFill>
      <a:prstDash val="solid"/>
    </a:ln>
  </c:sp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22903124763725521"/>
          <c:y val="1.9444444444444445E-2"/>
          <c:w val="0.69797803052396235"/>
          <c:h val="0.7844767616442011"/>
        </c:manualLayout>
      </c:layout>
      <c:scatterChart>
        <c:scatterStyle val="lineMarker"/>
        <c:varyColors val="0"/>
        <c:ser>
          <c:idx val="0"/>
          <c:order val="0"/>
          <c:tx>
            <c:v/>
          </c:tx>
          <c:spPr>
            <a:ln w="19050">
              <a:noFill/>
            </a:ln>
          </c:spPr>
          <c:marker>
            <c:symbol val="none"/>
          </c:marker>
          <c:smooth val="0"/>
          <c:extLst xmlns:c16r2="http://schemas.microsoft.com/office/drawing/2015/06/chart">
            <c:ext xmlns:c16="http://schemas.microsoft.com/office/drawing/2014/chart" uri="{C3380CC4-5D6E-409C-BE32-E72D297353CC}">
              <c16:uniqueId val="{00000000-EA3C-44EE-B3AA-31CB30ACE273}"/>
            </c:ext>
          </c:extLst>
        </c:ser>
        <c:ser>
          <c:idx val="1"/>
          <c:order val="1"/>
          <c:tx>
            <c:v>Identity</c:v>
          </c:tx>
          <c:spPr>
            <a:ln w="12700">
              <a:solidFill>
                <a:srgbClr val="B0B0B0"/>
              </a:solidFill>
              <a:prstDash val="solid"/>
            </a:ln>
          </c:spPr>
          <c:marker>
            <c:symbol val="none"/>
          </c:marker>
          <c:xVal>
            <c:numRef>
              <c:f>'Old method, New method 7'!$KO$1:$KO$2</c:f>
              <c:numCache>
                <c:formatCode>General</c:formatCode>
                <c:ptCount val="2"/>
                <c:pt idx="0">
                  <c:v>0</c:v>
                </c:pt>
                <c:pt idx="1">
                  <c:v>1200</c:v>
                </c:pt>
              </c:numCache>
            </c:numRef>
          </c:xVal>
          <c:yVal>
            <c:numRef>
              <c:f>'Old method, New method 7'!$KO$3:$KO$4</c:f>
              <c:numCache>
                <c:formatCode>General</c:formatCode>
                <c:ptCount val="2"/>
                <c:pt idx="0">
                  <c:v>0</c:v>
                </c:pt>
                <c:pt idx="1">
                  <c:v>1200</c:v>
                </c:pt>
              </c:numCache>
            </c:numRef>
          </c:yVal>
          <c:smooth val="0"/>
          <c:extLst xmlns:c16r2="http://schemas.microsoft.com/office/drawing/2015/06/chart">
            <c:ext xmlns:c16="http://schemas.microsoft.com/office/drawing/2014/chart" uri="{C3380CC4-5D6E-409C-BE32-E72D297353CC}">
              <c16:uniqueId val="{00000001-EA3C-44EE-B3AA-31CB30ACE273}"/>
            </c:ext>
          </c:extLst>
        </c:ser>
        <c:ser>
          <c:idx val="2"/>
          <c:order val="2"/>
          <c:tx>
            <c:v/>
          </c:tx>
          <c:spPr>
            <a:ln w="19050">
              <a:noFill/>
            </a:ln>
          </c:spPr>
          <c:marker>
            <c:symbol val="square"/>
            <c:size val="4"/>
            <c:spPr>
              <a:solidFill>
                <a:srgbClr val="404040">
                  <a:alpha val="75000"/>
                </a:srgbClr>
              </a:solidFill>
              <a:ln w="6350">
                <a:noFill/>
              </a:ln>
            </c:spPr>
          </c:marker>
          <c:xVal>
            <c:numRef>
              <c:f>'Old method, New method 7'!$KO$5:$KO$26</c:f>
              <c:numCache>
                <c:formatCode>General</c:formatCode>
                <c:ptCount val="22"/>
                <c:pt idx="0">
                  <c:v>6.58</c:v>
                </c:pt>
                <c:pt idx="1">
                  <c:v>9.26</c:v>
                </c:pt>
                <c:pt idx="2">
                  <c:v>10.8</c:v>
                </c:pt>
                <c:pt idx="3">
                  <c:v>14.5</c:v>
                </c:pt>
                <c:pt idx="4">
                  <c:v>14.64</c:v>
                </c:pt>
                <c:pt idx="5">
                  <c:v>24.42</c:v>
                </c:pt>
                <c:pt idx="6">
                  <c:v>34.49</c:v>
                </c:pt>
                <c:pt idx="7">
                  <c:v>40.090000000000003</c:v>
                </c:pt>
                <c:pt idx="8">
                  <c:v>46.02</c:v>
                </c:pt>
                <c:pt idx="9">
                  <c:v>49.28</c:v>
                </c:pt>
                <c:pt idx="10">
                  <c:v>65.89</c:v>
                </c:pt>
                <c:pt idx="11">
                  <c:v>66.25</c:v>
                </c:pt>
                <c:pt idx="12">
                  <c:v>74.87</c:v>
                </c:pt>
                <c:pt idx="13">
                  <c:v>94.9</c:v>
                </c:pt>
                <c:pt idx="14">
                  <c:v>150.49</c:v>
                </c:pt>
                <c:pt idx="15">
                  <c:v>176.59</c:v>
                </c:pt>
                <c:pt idx="16">
                  <c:v>245.77</c:v>
                </c:pt>
                <c:pt idx="17">
                  <c:v>281.32</c:v>
                </c:pt>
                <c:pt idx="18">
                  <c:v>300.73</c:v>
                </c:pt>
                <c:pt idx="19">
                  <c:v>683.92</c:v>
                </c:pt>
                <c:pt idx="20">
                  <c:v>688.28</c:v>
                </c:pt>
                <c:pt idx="21">
                  <c:v>876.71</c:v>
                </c:pt>
              </c:numCache>
            </c:numRef>
          </c:xVal>
          <c:yVal>
            <c:numRef>
              <c:f>'Old method, New method 7'!$KO$27:$KO$48</c:f>
              <c:numCache>
                <c:formatCode>General</c:formatCode>
                <c:ptCount val="22"/>
                <c:pt idx="0">
                  <c:v>4.3</c:v>
                </c:pt>
                <c:pt idx="1">
                  <c:v>3.3</c:v>
                </c:pt>
                <c:pt idx="2">
                  <c:v>4</c:v>
                </c:pt>
                <c:pt idx="3">
                  <c:v>7</c:v>
                </c:pt>
                <c:pt idx="4">
                  <c:v>9.1999999999999993</c:v>
                </c:pt>
                <c:pt idx="5">
                  <c:v>11.8</c:v>
                </c:pt>
                <c:pt idx="6">
                  <c:v>23.3</c:v>
                </c:pt>
                <c:pt idx="7">
                  <c:v>36.5</c:v>
                </c:pt>
                <c:pt idx="8">
                  <c:v>33</c:v>
                </c:pt>
                <c:pt idx="9">
                  <c:v>40.200000000000003</c:v>
                </c:pt>
                <c:pt idx="10">
                  <c:v>133.69999999999999</c:v>
                </c:pt>
                <c:pt idx="11">
                  <c:v>44.1</c:v>
                </c:pt>
                <c:pt idx="12">
                  <c:v>809</c:v>
                </c:pt>
                <c:pt idx="13">
                  <c:v>115.6</c:v>
                </c:pt>
                <c:pt idx="14">
                  <c:v>120.4</c:v>
                </c:pt>
                <c:pt idx="15">
                  <c:v>201.6</c:v>
                </c:pt>
                <c:pt idx="16">
                  <c:v>440</c:v>
                </c:pt>
                <c:pt idx="17">
                  <c:v>513.4</c:v>
                </c:pt>
                <c:pt idx="18">
                  <c:v>1126.7</c:v>
                </c:pt>
                <c:pt idx="19">
                  <c:v>916</c:v>
                </c:pt>
                <c:pt idx="20">
                  <c:v>502.7</c:v>
                </c:pt>
                <c:pt idx="21">
                  <c:v>954.6</c:v>
                </c:pt>
              </c:numCache>
            </c:numRef>
          </c:yVal>
          <c:smooth val="0"/>
          <c:extLst xmlns:c16r2="http://schemas.microsoft.com/office/drawing/2015/06/chart">
            <c:ext xmlns:c16="http://schemas.microsoft.com/office/drawing/2014/chart" uri="{C3380CC4-5D6E-409C-BE32-E72D297353CC}">
              <c16:uniqueId val="{00000002-EA3C-44EE-B3AA-31CB30ACE273}"/>
            </c:ext>
          </c:extLst>
        </c:ser>
        <c:ser>
          <c:idx val="3"/>
          <c:order val="3"/>
          <c:tx>
            <c:v>Passing-Bablok fit
(y = -10.37 + 1.255 x)</c:v>
          </c:tx>
          <c:spPr>
            <a:ln w="25400">
              <a:solidFill>
                <a:srgbClr val="E61C1B"/>
              </a:solidFill>
              <a:prstDash val="solid"/>
            </a:ln>
          </c:spPr>
          <c:marker>
            <c:symbol val="none"/>
          </c:marker>
          <c:xVal>
            <c:numRef>
              <c:f>'Old method, New method 7'!$KO$49:$KO$50</c:f>
              <c:numCache>
                <c:formatCode>General</c:formatCode>
                <c:ptCount val="2"/>
                <c:pt idx="0">
                  <c:v>6.58</c:v>
                </c:pt>
                <c:pt idx="1">
                  <c:v>876.71</c:v>
                </c:pt>
              </c:numCache>
            </c:numRef>
          </c:xVal>
          <c:yVal>
            <c:numRef>
              <c:f>'Old method, New method 7'!$KO$51:$KO$52</c:f>
              <c:numCache>
                <c:formatCode>General</c:formatCode>
                <c:ptCount val="2"/>
                <c:pt idx="0">
                  <c:v>-2.116333567909924</c:v>
                </c:pt>
                <c:pt idx="1">
                  <c:v>1089.6794370161858</c:v>
                </c:pt>
              </c:numCache>
            </c:numRef>
          </c:yVal>
          <c:smooth val="0"/>
          <c:extLst xmlns:c16r2="http://schemas.microsoft.com/office/drawing/2015/06/chart">
            <c:ext xmlns:c16="http://schemas.microsoft.com/office/drawing/2014/chart" uri="{C3380CC4-5D6E-409C-BE32-E72D297353CC}">
              <c16:uniqueId val="{00000003-EA3C-44EE-B3AA-31CB30ACE273}"/>
            </c:ext>
          </c:extLst>
        </c:ser>
        <c:dLbls>
          <c:showLegendKey val="0"/>
          <c:showVal val="0"/>
          <c:showCatName val="0"/>
          <c:showSerName val="0"/>
          <c:showPercent val="0"/>
          <c:showBubbleSize val="0"/>
        </c:dLbls>
        <c:axId val="413412912"/>
        <c:axId val="413415264"/>
      </c:scatterChart>
      <c:valAx>
        <c:axId val="413412912"/>
        <c:scaling>
          <c:orientation val="minMax"/>
          <c:max val="1200"/>
          <c:min val="0"/>
        </c:scaling>
        <c:delete val="0"/>
        <c:axPos val="b"/>
        <c:title>
          <c:tx>
            <c:rich>
              <a:bodyPr/>
              <a:lstStyle/>
              <a:p>
                <a:pPr>
                  <a:defRPr sz="1000" b="0" i="0">
                    <a:latin typeface="Calibri"/>
                    <a:ea typeface="Calibri"/>
                    <a:cs typeface="Calibri"/>
                  </a:defRPr>
                </a:pPr>
                <a:r>
                  <a:rPr lang="en-GB"/>
                  <a:t>Old method (Centaur)</a:t>
                </a:r>
              </a:p>
            </c:rich>
          </c:tx>
          <c:overlay val="0"/>
        </c:title>
        <c:numFmt formatCode="General" sourceLinked="0"/>
        <c:majorTickMark val="out"/>
        <c:minorTickMark val="out"/>
        <c:tickLblPos val="nextTo"/>
        <c:spPr>
          <a:ln w="12700">
            <a:solidFill>
              <a:srgbClr val="808080"/>
            </a:solidFill>
            <a:prstDash val="solid"/>
          </a:ln>
        </c:spPr>
        <c:txPr>
          <a:bodyPr/>
          <a:lstStyle/>
          <a:p>
            <a:pPr>
              <a:defRPr sz="900" b="0" i="0">
                <a:latin typeface="Calibri"/>
                <a:ea typeface="Calibri"/>
                <a:cs typeface="Calibri"/>
              </a:defRPr>
            </a:pPr>
            <a:endParaRPr lang="en-US"/>
          </a:p>
        </c:txPr>
        <c:crossAx val="413415264"/>
        <c:crosses val="min"/>
        <c:crossBetween val="midCat"/>
        <c:majorUnit val="200"/>
        <c:minorUnit val="200"/>
      </c:valAx>
      <c:valAx>
        <c:axId val="413415264"/>
        <c:scaling>
          <c:orientation val="minMax"/>
          <c:max val="1200"/>
          <c:min val="0"/>
        </c:scaling>
        <c:delete val="0"/>
        <c:axPos val="l"/>
        <c:title>
          <c:tx>
            <c:rich>
              <a:bodyPr/>
              <a:lstStyle/>
              <a:p>
                <a:pPr>
                  <a:defRPr sz="1000" b="0" i="0">
                    <a:latin typeface="Calibri"/>
                    <a:ea typeface="Calibri"/>
                    <a:cs typeface="Calibri"/>
                  </a:defRPr>
                </a:pPr>
                <a:r>
                  <a:rPr lang="en-GB"/>
                  <a:t>New method (Alinity)</a:t>
                </a:r>
              </a:p>
            </c:rich>
          </c:tx>
          <c:overlay val="0"/>
        </c:title>
        <c:numFmt formatCode="General" sourceLinked="0"/>
        <c:majorTickMark val="out"/>
        <c:minorTickMark val="out"/>
        <c:tickLblPos val="nextTo"/>
        <c:spPr>
          <a:ln w="12700">
            <a:solidFill>
              <a:srgbClr val="808080"/>
            </a:solidFill>
            <a:prstDash val="solid"/>
          </a:ln>
        </c:spPr>
        <c:txPr>
          <a:bodyPr/>
          <a:lstStyle/>
          <a:p>
            <a:pPr>
              <a:defRPr sz="900" b="0" i="0">
                <a:latin typeface="Calibri"/>
                <a:ea typeface="Calibri"/>
                <a:cs typeface="Calibri"/>
              </a:defRPr>
            </a:pPr>
            <a:endParaRPr lang="en-US"/>
          </a:p>
        </c:txPr>
        <c:crossAx val="413412912"/>
        <c:crosses val="min"/>
        <c:crossBetween val="midCat"/>
        <c:majorUnit val="200"/>
        <c:minorUnit val="200"/>
      </c:valAx>
    </c:plotArea>
    <c:legend>
      <c:legendPos val="r"/>
      <c:legendEntry>
        <c:idx val="0"/>
        <c:delete val="1"/>
      </c:legendEntry>
      <c:legendEntry>
        <c:idx val="1"/>
        <c:delete val="1"/>
      </c:legendEntry>
      <c:legendEntry>
        <c:idx val="2"/>
        <c:delete val="1"/>
      </c:legendEntry>
      <c:layout>
        <c:manualLayout>
          <c:xMode val="edge"/>
          <c:yMode val="edge"/>
          <c:x val="0.452389747577849"/>
          <c:y val="0.56943897637795271"/>
          <c:w val="0.49731304163111301"/>
          <c:h val="0.17815461097023888"/>
        </c:manualLayout>
      </c:layout>
      <c:overlay val="1"/>
      <c:txPr>
        <a:bodyPr/>
        <a:lstStyle/>
        <a:p>
          <a:pPr>
            <a:defRPr sz="900" b="0" i="0">
              <a:latin typeface="Calibri"/>
              <a:ea typeface="Calibri"/>
              <a:cs typeface="Calibri"/>
            </a:defRPr>
          </a:pPr>
          <a:endParaRPr lang="en-US"/>
        </a:p>
      </c:txPr>
    </c:legend>
    <c:plotVisOnly val="0"/>
    <c:dispBlanksAs val="gap"/>
    <c:showDLblsOverMax val="0"/>
  </c:chart>
  <c:spPr>
    <a:ln w="12700">
      <a:solidFill>
        <a:srgbClr val="F0F0F0"/>
      </a:solidFill>
      <a:prstDash val="solid"/>
    </a:ln>
  </c:sp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14</TotalTime>
  <Pages>5</Pages>
  <Words>796</Words>
  <Characters>4539</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5325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dc:creator>
  <cp:lastModifiedBy>GLENDENNING, Lisa (FRIMLEY HEALTH NHS FOUNDATION TRUST)</cp:lastModifiedBy>
  <cp:revision>10</cp:revision>
  <dcterms:created xsi:type="dcterms:W3CDTF">2022-08-05T16:48:00Z</dcterms:created>
  <dcterms:modified xsi:type="dcterms:W3CDTF">2022-08-09T16:17:00Z</dcterms:modified>
</cp:coreProperties>
</file>