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EAF08" w14:textId="77777777" w:rsidR="003B48D7" w:rsidRDefault="003B48D7" w:rsidP="003B48D7">
      <w:pPr>
        <w:rPr>
          <w:highlight w:val="yellow"/>
        </w:rPr>
      </w:pPr>
    </w:p>
    <w:p w14:paraId="5BFD8B83" w14:textId="77777777" w:rsidR="003B48D7" w:rsidRDefault="003B48D7" w:rsidP="003B48D7">
      <w:pPr>
        <w:rPr>
          <w:rFonts w:ascii="Arial" w:hAnsi="Arial" w:cs="Arial"/>
          <w:sz w:val="24"/>
          <w:szCs w:val="24"/>
        </w:rPr>
      </w:pPr>
      <w:r>
        <w:rPr>
          <w:rFonts w:ascii="Arial" w:hAnsi="Arial" w:cs="Arial"/>
          <w:sz w:val="24"/>
          <w:szCs w:val="24"/>
          <w:highlight w:val="yellow"/>
        </w:rPr>
        <w:t>FAO</w:t>
      </w:r>
    </w:p>
    <w:p w14:paraId="28DE16FA" w14:textId="77777777" w:rsidR="003B48D7" w:rsidRDefault="003B48D7" w:rsidP="003B48D7">
      <w:pPr>
        <w:pStyle w:val="TableBullet"/>
        <w:numPr>
          <w:ilvl w:val="0"/>
          <w:numId w:val="2"/>
        </w:numPr>
        <w:tabs>
          <w:tab w:val="left" w:pos="720"/>
        </w:tabs>
        <w:rPr>
          <w:color w:val="auto"/>
        </w:rPr>
      </w:pPr>
      <w:r>
        <w:rPr>
          <w:color w:val="auto"/>
        </w:rPr>
        <w:t>ALL GPs</w:t>
      </w:r>
    </w:p>
    <w:p w14:paraId="6B244E5B" w14:textId="77777777" w:rsidR="003B48D7" w:rsidRDefault="003B48D7" w:rsidP="003B48D7">
      <w:pPr>
        <w:rPr>
          <w:rFonts w:ascii="Arial" w:hAnsi="Arial" w:cs="Arial"/>
          <w:sz w:val="24"/>
          <w:szCs w:val="24"/>
          <w:lang w:eastAsia="en-GB"/>
        </w:rPr>
      </w:pPr>
    </w:p>
    <w:p w14:paraId="6ADEFB95" w14:textId="77777777" w:rsidR="003B48D7" w:rsidRDefault="003B48D7" w:rsidP="003B48D7">
      <w:pPr>
        <w:rPr>
          <w:rFonts w:ascii="Arial" w:hAnsi="Arial" w:cs="Arial"/>
          <w:b/>
          <w:bCs/>
          <w:sz w:val="24"/>
          <w:szCs w:val="24"/>
          <w:lang w:eastAsia="en-GB"/>
        </w:rPr>
      </w:pPr>
      <w:r>
        <w:rPr>
          <w:rFonts w:ascii="Arial" w:hAnsi="Arial" w:cs="Arial"/>
          <w:b/>
          <w:bCs/>
          <w:sz w:val="24"/>
          <w:szCs w:val="24"/>
          <w:lang w:eastAsia="en-GB"/>
        </w:rPr>
        <w:t>Please note this has also been shared with the following:</w:t>
      </w:r>
    </w:p>
    <w:p w14:paraId="07666D28" w14:textId="77777777" w:rsidR="003B48D7" w:rsidRDefault="003B48D7" w:rsidP="003B48D7">
      <w:pPr>
        <w:pStyle w:val="TableBullet"/>
        <w:numPr>
          <w:ilvl w:val="0"/>
          <w:numId w:val="3"/>
        </w:numPr>
        <w:tabs>
          <w:tab w:val="left" w:pos="720"/>
        </w:tabs>
      </w:pPr>
      <w:r>
        <w:t xml:space="preserve">Regional EPRR </w:t>
      </w:r>
    </w:p>
    <w:p w14:paraId="7F764BE7" w14:textId="77777777" w:rsidR="003B48D7" w:rsidRDefault="003B48D7" w:rsidP="003B48D7">
      <w:pPr>
        <w:pStyle w:val="TableBullet"/>
        <w:numPr>
          <w:ilvl w:val="0"/>
          <w:numId w:val="3"/>
        </w:numPr>
        <w:tabs>
          <w:tab w:val="left" w:pos="720"/>
        </w:tabs>
      </w:pPr>
      <w:r>
        <w:t>Regional Director</w:t>
      </w:r>
    </w:p>
    <w:p w14:paraId="784ADBD8" w14:textId="77777777" w:rsidR="003B48D7" w:rsidRDefault="003B48D7" w:rsidP="003B48D7">
      <w:pPr>
        <w:pStyle w:val="ListParagraph"/>
        <w:numPr>
          <w:ilvl w:val="0"/>
          <w:numId w:val="3"/>
        </w:numPr>
        <w:rPr>
          <w:rFonts w:ascii="Arial" w:eastAsia="Times New Roman" w:hAnsi="Arial" w:cs="Arial"/>
          <w:sz w:val="24"/>
          <w:szCs w:val="24"/>
          <w:lang w:eastAsia="en-GB"/>
        </w:rPr>
      </w:pPr>
      <w:r>
        <w:rPr>
          <w:rFonts w:ascii="Arial" w:eastAsia="Times New Roman" w:hAnsi="Arial" w:cs="Arial"/>
          <w:color w:val="000000"/>
          <w:sz w:val="24"/>
          <w:szCs w:val="24"/>
          <w:lang w:eastAsia="en-GB"/>
        </w:rPr>
        <w:t xml:space="preserve">Regional PCN </w:t>
      </w:r>
      <w:r>
        <w:rPr>
          <w:rFonts w:ascii="Arial" w:eastAsia="Times New Roman" w:hAnsi="Arial" w:cs="Arial"/>
          <w:sz w:val="24"/>
          <w:szCs w:val="24"/>
          <w:lang w:eastAsia="en-GB"/>
        </w:rPr>
        <w:t>L</w:t>
      </w:r>
      <w:r>
        <w:rPr>
          <w:rFonts w:ascii="Arial" w:eastAsia="Times New Roman" w:hAnsi="Arial" w:cs="Arial"/>
          <w:color w:val="000000"/>
          <w:sz w:val="24"/>
          <w:szCs w:val="24"/>
          <w:lang w:eastAsia="en-GB"/>
        </w:rPr>
        <w:t>eads – for information</w:t>
      </w:r>
    </w:p>
    <w:p w14:paraId="6AE0E248" w14:textId="77777777" w:rsidR="003B48D7" w:rsidRDefault="003B48D7" w:rsidP="003B48D7">
      <w:pPr>
        <w:pStyle w:val="ListParagraph"/>
        <w:numPr>
          <w:ilvl w:val="0"/>
          <w:numId w:val="3"/>
        </w:numPr>
        <w:rPr>
          <w:rFonts w:ascii="Arial" w:eastAsia="Times New Roman" w:hAnsi="Arial" w:cs="Arial"/>
          <w:sz w:val="24"/>
          <w:szCs w:val="24"/>
          <w:lang w:eastAsia="en-GB"/>
        </w:rPr>
      </w:pPr>
      <w:r>
        <w:rPr>
          <w:rFonts w:ascii="Arial" w:eastAsia="Times New Roman" w:hAnsi="Arial" w:cs="Arial"/>
          <w:color w:val="000000"/>
          <w:sz w:val="24"/>
          <w:szCs w:val="24"/>
          <w:lang w:eastAsia="en-GB"/>
        </w:rPr>
        <w:t xml:space="preserve">Regional </w:t>
      </w:r>
      <w:r>
        <w:rPr>
          <w:rFonts w:ascii="Arial" w:eastAsia="Times New Roman" w:hAnsi="Arial" w:cs="Arial"/>
          <w:sz w:val="24"/>
          <w:szCs w:val="24"/>
          <w:lang w:eastAsia="en-GB"/>
        </w:rPr>
        <w:t>H</w:t>
      </w:r>
      <w:r>
        <w:rPr>
          <w:rFonts w:ascii="Arial" w:eastAsia="Times New Roman" w:hAnsi="Arial" w:cs="Arial"/>
          <w:color w:val="000000"/>
          <w:sz w:val="24"/>
          <w:szCs w:val="24"/>
          <w:lang w:eastAsia="en-GB"/>
        </w:rPr>
        <w:t xml:space="preserve">ealth and </w:t>
      </w:r>
      <w:r>
        <w:rPr>
          <w:rFonts w:ascii="Arial" w:eastAsia="Times New Roman" w:hAnsi="Arial" w:cs="Arial"/>
          <w:sz w:val="24"/>
          <w:szCs w:val="24"/>
          <w:lang w:eastAsia="en-GB"/>
        </w:rPr>
        <w:t>J</w:t>
      </w:r>
      <w:r>
        <w:rPr>
          <w:rFonts w:ascii="Arial" w:eastAsia="Times New Roman" w:hAnsi="Arial" w:cs="Arial"/>
          <w:color w:val="000000"/>
          <w:sz w:val="24"/>
          <w:szCs w:val="24"/>
          <w:lang w:eastAsia="en-GB"/>
        </w:rPr>
        <w:t xml:space="preserve">ustice </w:t>
      </w:r>
      <w:r>
        <w:rPr>
          <w:rFonts w:ascii="Arial" w:eastAsia="Times New Roman" w:hAnsi="Arial" w:cs="Arial"/>
          <w:sz w:val="24"/>
          <w:szCs w:val="24"/>
          <w:lang w:eastAsia="en-GB"/>
        </w:rPr>
        <w:t>L</w:t>
      </w:r>
      <w:r>
        <w:rPr>
          <w:rFonts w:ascii="Arial" w:eastAsia="Times New Roman" w:hAnsi="Arial" w:cs="Arial"/>
          <w:color w:val="000000"/>
          <w:sz w:val="24"/>
          <w:szCs w:val="24"/>
          <w:lang w:eastAsia="en-GB"/>
        </w:rPr>
        <w:t>eads – for cascade as appropriate</w:t>
      </w:r>
    </w:p>
    <w:p w14:paraId="5055C4E3" w14:textId="77777777" w:rsidR="003B48D7" w:rsidRDefault="003B48D7" w:rsidP="003B48D7">
      <w:pPr>
        <w:pStyle w:val="ListParagraph"/>
        <w:numPr>
          <w:ilvl w:val="0"/>
          <w:numId w:val="3"/>
        </w:numPr>
        <w:rPr>
          <w:rFonts w:ascii="Arial" w:eastAsia="Times New Roman" w:hAnsi="Arial" w:cs="Arial"/>
          <w:sz w:val="24"/>
          <w:szCs w:val="24"/>
          <w:lang w:eastAsia="en-GB"/>
        </w:rPr>
      </w:pPr>
      <w:r>
        <w:rPr>
          <w:rFonts w:ascii="Arial" w:eastAsia="Times New Roman" w:hAnsi="Arial" w:cs="Arial"/>
          <w:color w:val="000000"/>
          <w:sz w:val="24"/>
          <w:szCs w:val="24"/>
          <w:lang w:eastAsia="en-GB"/>
        </w:rPr>
        <w:t>Regional Directors of Primary Care and Public Health – for information</w:t>
      </w:r>
    </w:p>
    <w:p w14:paraId="056F257D" w14:textId="77777777" w:rsidR="003B48D7" w:rsidRDefault="003B48D7" w:rsidP="003B48D7">
      <w:pPr>
        <w:pStyle w:val="ListParagraph"/>
        <w:numPr>
          <w:ilvl w:val="0"/>
          <w:numId w:val="3"/>
        </w:numPr>
        <w:rPr>
          <w:rFonts w:ascii="Arial" w:eastAsia="Times New Roman" w:hAnsi="Arial" w:cs="Arial"/>
          <w:sz w:val="24"/>
          <w:szCs w:val="24"/>
          <w:lang w:eastAsia="en-GB"/>
        </w:rPr>
      </w:pPr>
      <w:r>
        <w:rPr>
          <w:rFonts w:ascii="Arial" w:eastAsia="Times New Roman" w:hAnsi="Arial" w:cs="Arial"/>
          <w:color w:val="000000"/>
          <w:sz w:val="24"/>
          <w:szCs w:val="24"/>
          <w:lang w:eastAsia="en-GB"/>
        </w:rPr>
        <w:t>Regional Medical Director – for information</w:t>
      </w:r>
    </w:p>
    <w:p w14:paraId="13FDEAE7" w14:textId="77777777" w:rsidR="003B48D7" w:rsidRDefault="003B48D7" w:rsidP="003B48D7">
      <w:pPr>
        <w:pStyle w:val="ListParagraph"/>
        <w:numPr>
          <w:ilvl w:val="0"/>
          <w:numId w:val="3"/>
        </w:numPr>
        <w:rPr>
          <w:rFonts w:ascii="Arial" w:eastAsia="Times New Roman" w:hAnsi="Arial" w:cs="Arial"/>
          <w:sz w:val="24"/>
          <w:szCs w:val="24"/>
          <w:lang w:eastAsia="en-GB"/>
        </w:rPr>
      </w:pPr>
      <w:r>
        <w:rPr>
          <w:rFonts w:ascii="Arial" w:eastAsia="Times New Roman" w:hAnsi="Arial" w:cs="Arial"/>
          <w:color w:val="000000"/>
          <w:sz w:val="24"/>
          <w:szCs w:val="24"/>
          <w:lang w:eastAsia="en-GB"/>
        </w:rPr>
        <w:t>Heads of Primary Care Commissioning – please send to all Community Pharmacists in South East</w:t>
      </w:r>
    </w:p>
    <w:p w14:paraId="0F296621" w14:textId="77777777" w:rsidR="003B48D7" w:rsidRDefault="003B48D7" w:rsidP="003B48D7">
      <w:pPr>
        <w:rPr>
          <w:rFonts w:ascii="Arial" w:hAnsi="Arial" w:cs="Arial"/>
          <w:sz w:val="24"/>
          <w:szCs w:val="24"/>
          <w:lang w:eastAsia="en-GB"/>
        </w:rPr>
      </w:pPr>
    </w:p>
    <w:p w14:paraId="423FBB08" w14:textId="77777777" w:rsidR="003B48D7" w:rsidRDefault="003B48D7" w:rsidP="003B48D7">
      <w:pPr>
        <w:rPr>
          <w:rFonts w:ascii="Arial" w:hAnsi="Arial" w:cs="Arial"/>
          <w:sz w:val="24"/>
          <w:szCs w:val="24"/>
        </w:rPr>
      </w:pPr>
      <w:r>
        <w:rPr>
          <w:rFonts w:ascii="Arial" w:hAnsi="Arial" w:cs="Arial"/>
          <w:sz w:val="24"/>
          <w:szCs w:val="24"/>
        </w:rPr>
        <w:t>This will be added to NHS website (</w:t>
      </w:r>
      <w:hyperlink r:id="rId5" w:history="1">
        <w:r>
          <w:rPr>
            <w:rStyle w:val="Hyperlink"/>
            <w:rFonts w:ascii="Arial" w:hAnsi="Arial" w:cs="Arial"/>
            <w:sz w:val="24"/>
            <w:szCs w:val="24"/>
          </w:rPr>
          <w:t>https://www.england.nhs.uk/publication/monkeypox/</w:t>
        </w:r>
      </w:hyperlink>
      <w:r>
        <w:rPr>
          <w:rFonts w:ascii="Arial" w:hAnsi="Arial" w:cs="Arial"/>
          <w:sz w:val="24"/>
          <w:szCs w:val="24"/>
        </w:rPr>
        <w:t xml:space="preserve">) shortly. </w:t>
      </w:r>
    </w:p>
    <w:p w14:paraId="21F700D8" w14:textId="77777777" w:rsidR="003B48D7" w:rsidRDefault="003B48D7" w:rsidP="003B48D7">
      <w:pPr>
        <w:rPr>
          <w:rFonts w:ascii="Arial" w:hAnsi="Arial" w:cs="Arial"/>
          <w:sz w:val="24"/>
          <w:szCs w:val="24"/>
        </w:rPr>
      </w:pPr>
    </w:p>
    <w:p w14:paraId="1BE81744" w14:textId="77777777" w:rsidR="003B48D7" w:rsidRDefault="003B48D7" w:rsidP="003B48D7">
      <w:pPr>
        <w:rPr>
          <w:rFonts w:ascii="Arial" w:hAnsi="Arial" w:cs="Arial"/>
          <w:snapToGrid w:val="0"/>
          <w:sz w:val="24"/>
          <w:szCs w:val="24"/>
        </w:rPr>
      </w:pPr>
      <w:r>
        <w:rPr>
          <w:rFonts w:ascii="Arial" w:hAnsi="Arial" w:cs="Arial"/>
          <w:snapToGrid w:val="0"/>
          <w:sz w:val="24"/>
          <w:szCs w:val="24"/>
        </w:rPr>
        <w:t xml:space="preserve">You will be aware that there are now several hundred confirmed cases of monkeypox in the UK. Whilst these are mostly in London, increasing numbers are being confirmed in other parts of the country. </w:t>
      </w:r>
    </w:p>
    <w:p w14:paraId="31D15968" w14:textId="77777777" w:rsidR="003B48D7" w:rsidRDefault="003B48D7" w:rsidP="003B48D7">
      <w:pPr>
        <w:ind w:left="720"/>
        <w:rPr>
          <w:rFonts w:ascii="Arial" w:hAnsi="Arial" w:cs="Arial"/>
          <w:snapToGrid w:val="0"/>
          <w:sz w:val="24"/>
          <w:szCs w:val="24"/>
        </w:rPr>
      </w:pPr>
    </w:p>
    <w:p w14:paraId="475FAC1E" w14:textId="77777777" w:rsidR="003B48D7" w:rsidRDefault="003B48D7" w:rsidP="003B48D7">
      <w:pPr>
        <w:rPr>
          <w:rFonts w:ascii="Arial" w:hAnsi="Arial" w:cs="Arial"/>
          <w:snapToGrid w:val="0"/>
          <w:sz w:val="24"/>
          <w:szCs w:val="24"/>
        </w:rPr>
      </w:pPr>
      <w:r>
        <w:rPr>
          <w:rFonts w:ascii="Arial" w:hAnsi="Arial" w:cs="Arial"/>
          <w:snapToGrid w:val="0"/>
          <w:sz w:val="24"/>
          <w:szCs w:val="24"/>
        </w:rPr>
        <w:t xml:space="preserve">It is clear that most individuals do not require hospital admission and a </w:t>
      </w:r>
      <w:hyperlink r:id="rId6" w:history="1">
        <w:r>
          <w:rPr>
            <w:rStyle w:val="Hyperlink"/>
            <w:rFonts w:ascii="Arial" w:hAnsi="Arial" w:cs="Arial"/>
            <w:snapToGrid w:val="0"/>
            <w:sz w:val="24"/>
            <w:szCs w:val="24"/>
          </w:rPr>
          <w:t>risk stratification tool</w:t>
        </w:r>
      </w:hyperlink>
      <w:r>
        <w:rPr>
          <w:rFonts w:ascii="Arial" w:hAnsi="Arial" w:cs="Arial"/>
          <w:snapToGrid w:val="0"/>
          <w:sz w:val="24"/>
          <w:szCs w:val="24"/>
        </w:rPr>
        <w:t xml:space="preserve"> has been developed to identify those needing access to a bed in an Infectious Disease unit, whether because of clinical need </w:t>
      </w:r>
      <w:r>
        <w:rPr>
          <w:rFonts w:ascii="Arial" w:hAnsi="Arial" w:cs="Arial"/>
          <w:i/>
          <w:iCs/>
          <w:snapToGrid w:val="0"/>
          <w:sz w:val="24"/>
          <w:szCs w:val="24"/>
        </w:rPr>
        <w:t>or</w:t>
      </w:r>
      <w:r>
        <w:rPr>
          <w:rFonts w:ascii="Arial" w:hAnsi="Arial" w:cs="Arial"/>
          <w:snapToGrid w:val="0"/>
          <w:sz w:val="24"/>
          <w:szCs w:val="24"/>
        </w:rPr>
        <w:t xml:space="preserve"> because they have vulnerable members of the household who are unable to relocate for the period of the patient’s self-isolation. This approach has been described in the </w:t>
      </w:r>
      <w:hyperlink r:id="rId7" w:history="1">
        <w:r>
          <w:rPr>
            <w:rStyle w:val="Hyperlink"/>
            <w:rFonts w:ascii="Arial" w:hAnsi="Arial" w:cs="Arial"/>
            <w:snapToGrid w:val="0"/>
            <w:sz w:val="24"/>
            <w:szCs w:val="24"/>
          </w:rPr>
          <w:t>guidance on management of laboratory confirmed monkeypox cases</w:t>
        </w:r>
      </w:hyperlink>
      <w:r>
        <w:rPr>
          <w:rFonts w:ascii="Arial" w:hAnsi="Arial" w:cs="Arial"/>
          <w:snapToGrid w:val="0"/>
          <w:sz w:val="24"/>
          <w:szCs w:val="24"/>
        </w:rPr>
        <w:t>.</w:t>
      </w:r>
    </w:p>
    <w:p w14:paraId="3C5AE3B9" w14:textId="77777777" w:rsidR="003B48D7" w:rsidRDefault="003B48D7" w:rsidP="003B48D7">
      <w:pPr>
        <w:ind w:left="720"/>
        <w:rPr>
          <w:rFonts w:ascii="Arial" w:hAnsi="Arial" w:cs="Arial"/>
          <w:snapToGrid w:val="0"/>
          <w:sz w:val="24"/>
          <w:szCs w:val="24"/>
        </w:rPr>
      </w:pPr>
    </w:p>
    <w:p w14:paraId="05DF0E78" w14:textId="77777777" w:rsidR="003B48D7" w:rsidRDefault="003B48D7" w:rsidP="003B48D7">
      <w:pPr>
        <w:rPr>
          <w:rFonts w:ascii="Arial" w:hAnsi="Arial" w:cs="Arial"/>
          <w:snapToGrid w:val="0"/>
          <w:sz w:val="24"/>
          <w:szCs w:val="24"/>
        </w:rPr>
      </w:pPr>
      <w:proofErr w:type="gramStart"/>
      <w:r>
        <w:rPr>
          <w:rFonts w:ascii="Arial" w:hAnsi="Arial" w:cs="Arial"/>
          <w:snapToGrid w:val="0"/>
          <w:sz w:val="24"/>
          <w:szCs w:val="24"/>
        </w:rPr>
        <w:t>In order to</w:t>
      </w:r>
      <w:proofErr w:type="gramEnd"/>
      <w:r>
        <w:rPr>
          <w:rFonts w:ascii="Arial" w:hAnsi="Arial" w:cs="Arial"/>
          <w:snapToGrid w:val="0"/>
          <w:sz w:val="24"/>
          <w:szCs w:val="24"/>
        </w:rPr>
        <w:t xml:space="preserve"> transition to a safe and more sustainable ‘business as usual’ model, the following changes are now required. After taking a sample to be tested for monkeypox, if hospital admission is not required, the responsible clinician should advise the patient to self-isolate at home and give instructions on what to do if problems arise before the result is available. Importantly, the responsible clinician should clearly indicate the urgency of the test on the sample request and </w:t>
      </w:r>
      <w:r>
        <w:rPr>
          <w:rStyle w:val="s2"/>
          <w:rFonts w:ascii="Arial" w:hAnsi="Arial" w:cs="Arial"/>
          <w:sz w:val="24"/>
          <w:szCs w:val="24"/>
        </w:rPr>
        <w:t>give details of an appropriate out of hours point of contact who can take forward any necessary action if UKHSA laboratories report a positive test result</w:t>
      </w:r>
      <w:r>
        <w:rPr>
          <w:rStyle w:val="s1"/>
          <w:rFonts w:ascii="Arial" w:hAnsi="Arial" w:cs="Arial"/>
          <w:sz w:val="24"/>
          <w:szCs w:val="24"/>
        </w:rPr>
        <w:t xml:space="preserve">. </w:t>
      </w:r>
      <w:r>
        <w:rPr>
          <w:rFonts w:ascii="Arial" w:hAnsi="Arial" w:cs="Arial"/>
          <w:snapToGrid w:val="0"/>
          <w:sz w:val="24"/>
          <w:szCs w:val="24"/>
        </w:rPr>
        <w:t xml:space="preserve">After diagnostic confirmation of monkeypox, the referring clinician should </w:t>
      </w:r>
      <w:proofErr w:type="gramStart"/>
      <w:r>
        <w:rPr>
          <w:rFonts w:ascii="Arial" w:hAnsi="Arial" w:cs="Arial"/>
          <w:snapToGrid w:val="0"/>
          <w:sz w:val="24"/>
          <w:szCs w:val="24"/>
        </w:rPr>
        <w:t>make an assessment of</w:t>
      </w:r>
      <w:proofErr w:type="gramEnd"/>
      <w:r>
        <w:rPr>
          <w:rFonts w:ascii="Arial" w:hAnsi="Arial" w:cs="Arial"/>
          <w:snapToGrid w:val="0"/>
          <w:sz w:val="24"/>
          <w:szCs w:val="24"/>
        </w:rPr>
        <w:t xml:space="preserve"> the patient using the risk stratification tool and take actions according to the risk group, as follows:</w:t>
      </w:r>
    </w:p>
    <w:p w14:paraId="593AD866" w14:textId="77777777" w:rsidR="003B48D7" w:rsidRDefault="003B48D7" w:rsidP="003B48D7">
      <w:pPr>
        <w:ind w:left="720"/>
        <w:rPr>
          <w:rFonts w:ascii="Arial" w:hAnsi="Arial" w:cs="Arial"/>
          <w:snapToGrid w:val="0"/>
          <w:sz w:val="24"/>
          <w:szCs w:val="24"/>
        </w:rPr>
      </w:pPr>
    </w:p>
    <w:p w14:paraId="418CB3D8" w14:textId="77777777" w:rsidR="003B48D7" w:rsidRDefault="003B48D7" w:rsidP="003B48D7">
      <w:pPr>
        <w:pStyle w:val="NoSpacing"/>
        <w:numPr>
          <w:ilvl w:val="0"/>
          <w:numId w:val="4"/>
        </w:numPr>
        <w:ind w:left="1440"/>
        <w:rPr>
          <w:sz w:val="24"/>
          <w:szCs w:val="24"/>
        </w:rPr>
      </w:pPr>
      <w:r>
        <w:t xml:space="preserve">Group A - patient with features of severe infection or infection in a vulnerable person. The responsible clinician should immediately complete the template, found in Appendix C of document </w:t>
      </w:r>
      <w:proofErr w:type="gramStart"/>
      <w:r>
        <w:t>B1754</w:t>
      </w:r>
      <w:proofErr w:type="gramEnd"/>
      <w:r>
        <w:t xml:space="preserve"> and re-produced below, and return to the National Operations Centre (</w:t>
      </w:r>
      <w:hyperlink r:id="rId8" w:history="1">
        <w:r>
          <w:rPr>
            <w:rStyle w:val="Hyperlink"/>
          </w:rPr>
          <w:t>england.incident12@nhs.net</w:t>
        </w:r>
      </w:hyperlink>
      <w:r>
        <w:t xml:space="preserve">) for discussion at the High Consequence Infectious Diseases (HCID) Network daily call. The responsible clinician will be invited to join the HCID network meeting to discuss potential admission to one of the five HCID units. The meeting is held daily at 11am but arrangements can also be made for urgent admission at other times if essential by contacting the EPRR Duty Officer on </w:t>
      </w:r>
      <w:r>
        <w:lastRenderedPageBreak/>
        <w:t>0333 200 5022 and request that ‘NHS05’ call back (give name and contact number).</w:t>
      </w:r>
    </w:p>
    <w:p w14:paraId="4DDC49CC" w14:textId="77777777" w:rsidR="003B48D7" w:rsidRDefault="003B48D7" w:rsidP="003B48D7">
      <w:pPr>
        <w:pStyle w:val="NoSpacing"/>
        <w:ind w:left="1440"/>
        <w:rPr>
          <w:sz w:val="20"/>
          <w:szCs w:val="20"/>
        </w:rPr>
      </w:pPr>
    </w:p>
    <w:tbl>
      <w:tblPr>
        <w:tblW w:w="13984" w:type="dxa"/>
        <w:tblInd w:w="1417" w:type="dxa"/>
        <w:tblCellMar>
          <w:left w:w="0" w:type="dxa"/>
          <w:right w:w="0" w:type="dxa"/>
        </w:tblCellMar>
        <w:tblLook w:val="04A0" w:firstRow="1" w:lastRow="0" w:firstColumn="1" w:lastColumn="0" w:noHBand="0" w:noVBand="1"/>
      </w:tblPr>
      <w:tblGrid>
        <w:gridCol w:w="1270"/>
        <w:gridCol w:w="1559"/>
        <w:gridCol w:w="3686"/>
        <w:gridCol w:w="3516"/>
        <w:gridCol w:w="3953"/>
      </w:tblGrid>
      <w:tr w:rsidR="003B48D7" w14:paraId="0F9D5120" w14:textId="77777777" w:rsidTr="003B48D7">
        <w:trPr>
          <w:trHeight w:val="643"/>
        </w:trPr>
        <w:tc>
          <w:tcPr>
            <w:tcW w:w="1270" w:type="dxa"/>
            <w:tcBorders>
              <w:top w:val="single" w:sz="8" w:space="0" w:color="FFFFFF"/>
              <w:left w:val="single" w:sz="8" w:space="0" w:color="FFFFFF"/>
              <w:bottom w:val="single" w:sz="24" w:space="0" w:color="FFFFFF"/>
              <w:right w:val="single" w:sz="8" w:space="0" w:color="FFFFFF"/>
            </w:tcBorders>
            <w:shd w:val="clear" w:color="auto" w:fill="4472C4"/>
            <w:hideMark/>
          </w:tcPr>
          <w:p w14:paraId="1707F945" w14:textId="77777777" w:rsidR="003B48D7" w:rsidRDefault="003B48D7">
            <w:pPr>
              <w:rPr>
                <w:rFonts w:ascii="Arial" w:hAnsi="Arial" w:cs="Arial"/>
                <w:b/>
                <w:bCs/>
                <w:sz w:val="24"/>
                <w:szCs w:val="24"/>
              </w:rPr>
            </w:pPr>
            <w:r>
              <w:rPr>
                <w:rFonts w:ascii="Arial" w:hAnsi="Arial" w:cs="Arial"/>
                <w:b/>
                <w:bCs/>
                <w:color w:val="000000"/>
                <w:sz w:val="24"/>
                <w:szCs w:val="24"/>
              </w:rPr>
              <w:t xml:space="preserve">Initials </w:t>
            </w:r>
          </w:p>
        </w:tc>
        <w:tc>
          <w:tcPr>
            <w:tcW w:w="1559" w:type="dxa"/>
            <w:tcBorders>
              <w:top w:val="single" w:sz="8" w:space="0" w:color="FFFFFF"/>
              <w:left w:val="nil"/>
              <w:bottom w:val="single" w:sz="24" w:space="0" w:color="FFFFFF"/>
              <w:right w:val="single" w:sz="8" w:space="0" w:color="FFFFFF"/>
            </w:tcBorders>
            <w:shd w:val="clear" w:color="auto" w:fill="4472C4"/>
            <w:hideMark/>
          </w:tcPr>
          <w:p w14:paraId="27F27D99" w14:textId="77777777" w:rsidR="003B48D7" w:rsidRDefault="003B48D7">
            <w:pPr>
              <w:rPr>
                <w:rFonts w:ascii="Arial" w:hAnsi="Arial" w:cs="Arial"/>
                <w:b/>
                <w:bCs/>
                <w:sz w:val="24"/>
                <w:szCs w:val="24"/>
              </w:rPr>
            </w:pPr>
            <w:r>
              <w:rPr>
                <w:rFonts w:ascii="Arial" w:hAnsi="Arial" w:cs="Arial"/>
                <w:b/>
                <w:bCs/>
                <w:color w:val="000000"/>
                <w:sz w:val="24"/>
                <w:szCs w:val="24"/>
              </w:rPr>
              <w:t>DOB</w:t>
            </w:r>
          </w:p>
        </w:tc>
        <w:tc>
          <w:tcPr>
            <w:tcW w:w="3686" w:type="dxa"/>
            <w:tcBorders>
              <w:top w:val="single" w:sz="8" w:space="0" w:color="FFFFFF"/>
              <w:left w:val="nil"/>
              <w:bottom w:val="single" w:sz="24" w:space="0" w:color="FFFFFF"/>
              <w:right w:val="single" w:sz="8" w:space="0" w:color="FFFFFF"/>
            </w:tcBorders>
            <w:shd w:val="clear" w:color="auto" w:fill="4472C4"/>
            <w:tcMar>
              <w:top w:w="72" w:type="dxa"/>
              <w:left w:w="144" w:type="dxa"/>
              <w:bottom w:w="72" w:type="dxa"/>
              <w:right w:w="144" w:type="dxa"/>
            </w:tcMar>
            <w:hideMark/>
          </w:tcPr>
          <w:p w14:paraId="1CC90C88" w14:textId="77777777" w:rsidR="003B48D7" w:rsidRDefault="003B48D7">
            <w:pPr>
              <w:rPr>
                <w:rFonts w:ascii="Arial" w:hAnsi="Arial" w:cs="Arial"/>
                <w:sz w:val="24"/>
                <w:szCs w:val="24"/>
              </w:rPr>
            </w:pPr>
            <w:r>
              <w:rPr>
                <w:rFonts w:ascii="Arial" w:hAnsi="Arial" w:cs="Arial"/>
                <w:b/>
                <w:bCs/>
                <w:color w:val="000000"/>
                <w:sz w:val="24"/>
                <w:szCs w:val="24"/>
              </w:rPr>
              <w:t>Responsible Trust/ Hospital/ Service</w:t>
            </w:r>
          </w:p>
        </w:tc>
        <w:tc>
          <w:tcPr>
            <w:tcW w:w="3516" w:type="dxa"/>
            <w:tcBorders>
              <w:top w:val="single" w:sz="8" w:space="0" w:color="FFFFFF"/>
              <w:left w:val="nil"/>
              <w:bottom w:val="single" w:sz="24" w:space="0" w:color="FFFFFF"/>
              <w:right w:val="single" w:sz="8" w:space="0" w:color="FFFFFF"/>
            </w:tcBorders>
            <w:shd w:val="clear" w:color="auto" w:fill="4472C4"/>
            <w:tcMar>
              <w:top w:w="72" w:type="dxa"/>
              <w:left w:w="144" w:type="dxa"/>
              <w:bottom w:w="72" w:type="dxa"/>
              <w:right w:w="144" w:type="dxa"/>
            </w:tcMar>
            <w:hideMark/>
          </w:tcPr>
          <w:p w14:paraId="67F28EDA" w14:textId="77777777" w:rsidR="003B48D7" w:rsidRDefault="003B48D7">
            <w:pPr>
              <w:rPr>
                <w:rFonts w:ascii="Arial" w:hAnsi="Arial" w:cs="Arial"/>
                <w:b/>
                <w:bCs/>
                <w:sz w:val="24"/>
                <w:szCs w:val="24"/>
              </w:rPr>
            </w:pPr>
            <w:r>
              <w:rPr>
                <w:rFonts w:ascii="Arial" w:hAnsi="Arial" w:cs="Arial"/>
                <w:b/>
                <w:bCs/>
                <w:color w:val="000000"/>
                <w:sz w:val="24"/>
                <w:szCs w:val="24"/>
              </w:rPr>
              <w:t>Determined admission category</w:t>
            </w:r>
          </w:p>
          <w:p w14:paraId="5F5F2C0B" w14:textId="77777777" w:rsidR="003B48D7" w:rsidRDefault="003B48D7">
            <w:pPr>
              <w:rPr>
                <w:rFonts w:ascii="Arial" w:hAnsi="Arial" w:cs="Arial"/>
                <w:b/>
                <w:bCs/>
                <w:sz w:val="24"/>
                <w:szCs w:val="24"/>
              </w:rPr>
            </w:pPr>
            <w:r>
              <w:rPr>
                <w:rFonts w:ascii="Arial" w:hAnsi="Arial" w:cs="Arial"/>
                <w:b/>
                <w:bCs/>
                <w:color w:val="000000"/>
                <w:sz w:val="24"/>
                <w:szCs w:val="24"/>
              </w:rPr>
              <w:t>(A or B)</w:t>
            </w:r>
          </w:p>
        </w:tc>
        <w:tc>
          <w:tcPr>
            <w:tcW w:w="3953" w:type="dxa"/>
            <w:tcBorders>
              <w:top w:val="single" w:sz="8" w:space="0" w:color="FFFFFF"/>
              <w:left w:val="nil"/>
              <w:bottom w:val="single" w:sz="24" w:space="0" w:color="FFFFFF"/>
              <w:right w:val="single" w:sz="8" w:space="0" w:color="FFFFFF"/>
            </w:tcBorders>
            <w:shd w:val="clear" w:color="auto" w:fill="4472C4"/>
            <w:tcMar>
              <w:top w:w="72" w:type="dxa"/>
              <w:left w:w="144" w:type="dxa"/>
              <w:bottom w:w="72" w:type="dxa"/>
              <w:right w:w="144" w:type="dxa"/>
            </w:tcMar>
            <w:hideMark/>
          </w:tcPr>
          <w:p w14:paraId="61297C95" w14:textId="77777777" w:rsidR="003B48D7" w:rsidRDefault="003B48D7">
            <w:pPr>
              <w:rPr>
                <w:rFonts w:ascii="Arial" w:hAnsi="Arial" w:cs="Arial"/>
                <w:b/>
                <w:bCs/>
                <w:sz w:val="24"/>
                <w:szCs w:val="24"/>
              </w:rPr>
            </w:pPr>
            <w:r>
              <w:rPr>
                <w:rFonts w:ascii="Arial" w:hAnsi="Arial" w:cs="Arial"/>
                <w:b/>
                <w:bCs/>
                <w:color w:val="000000"/>
                <w:sz w:val="24"/>
                <w:szCs w:val="24"/>
              </w:rPr>
              <w:t xml:space="preserve">Patient current location </w:t>
            </w:r>
            <w:proofErr w:type="gramStart"/>
            <w:r>
              <w:rPr>
                <w:rFonts w:ascii="Arial" w:hAnsi="Arial" w:cs="Arial"/>
                <w:b/>
                <w:bCs/>
                <w:color w:val="000000"/>
                <w:sz w:val="24"/>
                <w:szCs w:val="24"/>
              </w:rPr>
              <w:t>e.g.</w:t>
            </w:r>
            <w:proofErr w:type="gramEnd"/>
            <w:r>
              <w:rPr>
                <w:rFonts w:ascii="Arial" w:hAnsi="Arial" w:cs="Arial"/>
                <w:b/>
                <w:bCs/>
                <w:color w:val="000000"/>
                <w:sz w:val="24"/>
                <w:szCs w:val="24"/>
              </w:rPr>
              <w:t xml:space="preserve"> geographical area of home or inpatient unit</w:t>
            </w:r>
          </w:p>
        </w:tc>
      </w:tr>
      <w:tr w:rsidR="003B48D7" w14:paraId="3F2B2131" w14:textId="77777777" w:rsidTr="003B48D7">
        <w:trPr>
          <w:trHeight w:val="396"/>
        </w:trPr>
        <w:tc>
          <w:tcPr>
            <w:tcW w:w="1270" w:type="dxa"/>
            <w:tcBorders>
              <w:top w:val="nil"/>
              <w:left w:val="single" w:sz="8" w:space="0" w:color="FFFFFF"/>
              <w:bottom w:val="single" w:sz="8" w:space="0" w:color="FFFFFF"/>
              <w:right w:val="single" w:sz="8" w:space="0" w:color="FFFFFF"/>
            </w:tcBorders>
            <w:shd w:val="clear" w:color="auto" w:fill="CFD5EA"/>
          </w:tcPr>
          <w:p w14:paraId="213DE8CE" w14:textId="77777777" w:rsidR="003B48D7" w:rsidRDefault="003B48D7">
            <w:pPr>
              <w:rPr>
                <w:rFonts w:ascii="Arial" w:hAnsi="Arial" w:cs="Arial"/>
                <w:sz w:val="24"/>
                <w:szCs w:val="24"/>
                <w:lang w:val="en-US"/>
              </w:rPr>
            </w:pPr>
          </w:p>
        </w:tc>
        <w:tc>
          <w:tcPr>
            <w:tcW w:w="1559" w:type="dxa"/>
            <w:tcBorders>
              <w:top w:val="nil"/>
              <w:left w:val="nil"/>
              <w:bottom w:val="single" w:sz="8" w:space="0" w:color="FFFFFF"/>
              <w:right w:val="single" w:sz="8" w:space="0" w:color="FFFFFF"/>
            </w:tcBorders>
            <w:shd w:val="clear" w:color="auto" w:fill="CFD5EA"/>
          </w:tcPr>
          <w:p w14:paraId="5F18F8CE" w14:textId="77777777" w:rsidR="003B48D7" w:rsidRDefault="003B48D7">
            <w:pPr>
              <w:rPr>
                <w:rFonts w:ascii="Arial" w:hAnsi="Arial" w:cs="Arial"/>
                <w:sz w:val="24"/>
                <w:szCs w:val="24"/>
                <w:lang w:val="en-US"/>
              </w:rPr>
            </w:pPr>
          </w:p>
        </w:tc>
        <w:tc>
          <w:tcPr>
            <w:tcW w:w="3686" w:type="dxa"/>
            <w:tcBorders>
              <w:top w:val="nil"/>
              <w:left w:val="nil"/>
              <w:bottom w:val="single" w:sz="8" w:space="0" w:color="FFFFFF"/>
              <w:right w:val="single" w:sz="8" w:space="0" w:color="FFFFFF"/>
            </w:tcBorders>
            <w:shd w:val="clear" w:color="auto" w:fill="CFD5EA"/>
            <w:tcMar>
              <w:top w:w="72" w:type="dxa"/>
              <w:left w:w="144" w:type="dxa"/>
              <w:bottom w:w="72" w:type="dxa"/>
              <w:right w:w="144" w:type="dxa"/>
            </w:tcMar>
          </w:tcPr>
          <w:p w14:paraId="5C0DEC19" w14:textId="77777777" w:rsidR="003B48D7" w:rsidRDefault="003B48D7">
            <w:pPr>
              <w:rPr>
                <w:rFonts w:ascii="Arial" w:hAnsi="Arial" w:cs="Arial"/>
                <w:sz w:val="24"/>
                <w:szCs w:val="24"/>
              </w:rPr>
            </w:pPr>
          </w:p>
        </w:tc>
        <w:tc>
          <w:tcPr>
            <w:tcW w:w="3516" w:type="dxa"/>
            <w:tcBorders>
              <w:top w:val="nil"/>
              <w:left w:val="nil"/>
              <w:bottom w:val="single" w:sz="8" w:space="0" w:color="FFFFFF"/>
              <w:right w:val="single" w:sz="8" w:space="0" w:color="FFFFFF"/>
            </w:tcBorders>
            <w:shd w:val="clear" w:color="auto" w:fill="CFD5EA"/>
            <w:tcMar>
              <w:top w:w="72" w:type="dxa"/>
              <w:left w:w="144" w:type="dxa"/>
              <w:bottom w:w="72" w:type="dxa"/>
              <w:right w:w="144" w:type="dxa"/>
            </w:tcMar>
          </w:tcPr>
          <w:p w14:paraId="1D275F30" w14:textId="77777777" w:rsidR="003B48D7" w:rsidRDefault="003B48D7">
            <w:pPr>
              <w:rPr>
                <w:rFonts w:ascii="Arial" w:hAnsi="Arial" w:cs="Arial"/>
                <w:sz w:val="24"/>
                <w:szCs w:val="24"/>
              </w:rPr>
            </w:pPr>
          </w:p>
        </w:tc>
        <w:tc>
          <w:tcPr>
            <w:tcW w:w="3953" w:type="dxa"/>
            <w:tcBorders>
              <w:top w:val="nil"/>
              <w:left w:val="nil"/>
              <w:bottom w:val="single" w:sz="8" w:space="0" w:color="FFFFFF"/>
              <w:right w:val="single" w:sz="8" w:space="0" w:color="FFFFFF"/>
            </w:tcBorders>
            <w:shd w:val="clear" w:color="auto" w:fill="CFD5EA"/>
            <w:tcMar>
              <w:top w:w="72" w:type="dxa"/>
              <w:left w:w="144" w:type="dxa"/>
              <w:bottom w:w="72" w:type="dxa"/>
              <w:right w:w="144" w:type="dxa"/>
            </w:tcMar>
          </w:tcPr>
          <w:p w14:paraId="0A7B81B1" w14:textId="77777777" w:rsidR="003B48D7" w:rsidRDefault="003B48D7">
            <w:pPr>
              <w:rPr>
                <w:rFonts w:ascii="Arial" w:hAnsi="Arial" w:cs="Arial"/>
                <w:sz w:val="24"/>
                <w:szCs w:val="24"/>
              </w:rPr>
            </w:pPr>
          </w:p>
        </w:tc>
      </w:tr>
    </w:tbl>
    <w:p w14:paraId="74A52FFC" w14:textId="77777777" w:rsidR="003B48D7" w:rsidRDefault="003B48D7" w:rsidP="003B48D7">
      <w:pPr>
        <w:pStyle w:val="NoSpacing"/>
        <w:ind w:left="1440"/>
        <w:rPr>
          <w:sz w:val="24"/>
          <w:szCs w:val="24"/>
          <w:lang w:eastAsia="en-GB"/>
        </w:rPr>
      </w:pPr>
    </w:p>
    <w:p w14:paraId="002ED8ED" w14:textId="77777777" w:rsidR="003B48D7" w:rsidRDefault="003B48D7" w:rsidP="003B48D7">
      <w:pPr>
        <w:pStyle w:val="NoSpacing"/>
        <w:rPr>
          <w:rFonts w:eastAsia="Times New Roman"/>
          <w:sz w:val="20"/>
          <w:szCs w:val="20"/>
        </w:rPr>
      </w:pPr>
    </w:p>
    <w:p w14:paraId="2044B1AC" w14:textId="77777777" w:rsidR="003B48D7" w:rsidRDefault="003B48D7" w:rsidP="003B48D7">
      <w:pPr>
        <w:pStyle w:val="NoSpacing"/>
        <w:ind w:left="1440"/>
      </w:pPr>
      <w:r>
        <w:t>Group B - patient presents a potential risk to vulnerable household members (</w:t>
      </w:r>
      <w:proofErr w:type="gramStart"/>
      <w:r>
        <w:t>e.g.</w:t>
      </w:r>
      <w:proofErr w:type="gramEnd"/>
      <w:r>
        <w:t xml:space="preserve"> children, pregnant women, immunosuppressed hosts) and other clinical reasons requiring hospitalisation. If alternate living arrangements cannot be arranged, the responsible clinician should discuss directly with the local Specialist Regional Infectious Diseases Centre (SRIDC) to agree patient admission for isolation </w:t>
      </w:r>
      <w:proofErr w:type="gramStart"/>
      <w:r>
        <w:t>purposes.*</w:t>
      </w:r>
      <w:proofErr w:type="gramEnd"/>
      <w:r>
        <w:t xml:space="preserve"> Note, every SRIDC will have a designated link to an HCID-a unit for 24/7 access to clinical advice but the aim will be to reserve sufficient HCID beds for severe cases (Group A).</w:t>
      </w:r>
    </w:p>
    <w:p w14:paraId="0660E875" w14:textId="77777777" w:rsidR="003B48D7" w:rsidRDefault="003B48D7" w:rsidP="003B48D7">
      <w:pPr>
        <w:pStyle w:val="NoSpacing"/>
        <w:numPr>
          <w:ilvl w:val="0"/>
          <w:numId w:val="4"/>
        </w:numPr>
        <w:ind w:left="1440"/>
      </w:pPr>
      <w:r>
        <w:t xml:space="preserve">Group C - patient at lowest risk who </w:t>
      </w:r>
      <w:proofErr w:type="gramStart"/>
      <w:r>
        <w:t>is able to</w:t>
      </w:r>
      <w:proofErr w:type="gramEnd"/>
      <w:r>
        <w:t xml:space="preserve"> isolate at home. Guidance for </w:t>
      </w:r>
      <w:hyperlink r:id="rId9" w:history="1">
        <w:r>
          <w:rPr>
            <w:rStyle w:val="Hyperlink"/>
          </w:rPr>
          <w:t>the virtual management of positive monkeypox cases</w:t>
        </w:r>
      </w:hyperlink>
      <w:r>
        <w:t xml:space="preserve"> has been published. Patients will be monitored at home and if there is a change of social circumstances or concerning clinical deterioration, as outlined above, the responsible clinician should make direct contact the local SRIDC or HCID-a network (via NHS EPPR) respectively. </w:t>
      </w:r>
    </w:p>
    <w:p w14:paraId="4EC2919E" w14:textId="77777777" w:rsidR="003B48D7" w:rsidRDefault="003B48D7" w:rsidP="003B48D7">
      <w:pPr>
        <w:ind w:left="720"/>
        <w:rPr>
          <w:rFonts w:ascii="Arial" w:hAnsi="Arial" w:cs="Arial"/>
          <w:snapToGrid w:val="0"/>
          <w:sz w:val="24"/>
          <w:szCs w:val="24"/>
        </w:rPr>
      </w:pPr>
    </w:p>
    <w:p w14:paraId="19592E52" w14:textId="77777777" w:rsidR="003B48D7" w:rsidRDefault="003B48D7" w:rsidP="003B48D7">
      <w:pPr>
        <w:rPr>
          <w:rFonts w:ascii="Arial" w:hAnsi="Arial" w:cs="Arial"/>
          <w:snapToGrid w:val="0"/>
          <w:sz w:val="24"/>
          <w:szCs w:val="24"/>
        </w:rPr>
      </w:pPr>
      <w:r>
        <w:rPr>
          <w:rFonts w:ascii="Arial" w:hAnsi="Arial" w:cs="Arial"/>
          <w:snapToGrid w:val="0"/>
          <w:sz w:val="24"/>
          <w:szCs w:val="24"/>
        </w:rPr>
        <w:t xml:space="preserve">This is a difficult </w:t>
      </w:r>
      <w:proofErr w:type="gramStart"/>
      <w:r>
        <w:rPr>
          <w:rFonts w:ascii="Arial" w:hAnsi="Arial" w:cs="Arial"/>
          <w:snapToGrid w:val="0"/>
          <w:sz w:val="24"/>
          <w:szCs w:val="24"/>
        </w:rPr>
        <w:t>time</w:t>
      </w:r>
      <w:proofErr w:type="gramEnd"/>
      <w:r>
        <w:rPr>
          <w:rFonts w:ascii="Arial" w:hAnsi="Arial" w:cs="Arial"/>
          <w:snapToGrid w:val="0"/>
          <w:sz w:val="24"/>
          <w:szCs w:val="24"/>
        </w:rPr>
        <w:t xml:space="preserve"> and we understand the many competing demands on your staff and resources. </w:t>
      </w:r>
      <w:r>
        <w:rPr>
          <w:rFonts w:ascii="Arial" w:hAnsi="Arial" w:cs="Arial"/>
          <w:sz w:val="24"/>
          <w:szCs w:val="24"/>
        </w:rPr>
        <w:t xml:space="preserve">A daily SITREP capturing bed availability in HCID centres and SRIDCs has recently been established and will need to be submitted via the Strategic Data Collection Service (SDCS) by 14:00 each day, details of this SITREP will be shared separately. This will be used to help ensure that the burden of work is distributed as </w:t>
      </w:r>
      <w:proofErr w:type="gramStart"/>
      <w:r>
        <w:rPr>
          <w:rFonts w:ascii="Arial" w:hAnsi="Arial" w:cs="Arial"/>
          <w:sz w:val="24"/>
          <w:szCs w:val="24"/>
        </w:rPr>
        <w:t>fairly as</w:t>
      </w:r>
      <w:proofErr w:type="gramEnd"/>
      <w:r>
        <w:rPr>
          <w:rFonts w:ascii="Arial" w:hAnsi="Arial" w:cs="Arial"/>
          <w:sz w:val="24"/>
          <w:szCs w:val="24"/>
        </w:rPr>
        <w:t xml:space="preserve"> possible across the HCID and ID units.</w:t>
      </w:r>
    </w:p>
    <w:p w14:paraId="0D52C40D" w14:textId="77777777" w:rsidR="003B48D7" w:rsidRDefault="003B48D7" w:rsidP="003B48D7">
      <w:pPr>
        <w:rPr>
          <w:rFonts w:ascii="Arial" w:hAnsi="Arial" w:cs="Arial"/>
          <w:snapToGrid w:val="0"/>
          <w:sz w:val="24"/>
          <w:szCs w:val="24"/>
        </w:rPr>
      </w:pPr>
      <w:bookmarkStart w:id="0" w:name="_Hlk105590630"/>
      <w:bookmarkEnd w:id="0"/>
    </w:p>
    <w:p w14:paraId="30619EBD" w14:textId="77777777" w:rsidR="004F52D7" w:rsidRDefault="00C122ED"/>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21ED9"/>
    <w:multiLevelType w:val="hybridMultilevel"/>
    <w:tmpl w:val="946EE97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 w15:restartNumberingAfterBreak="0">
    <w:nsid w:val="1EF37E34"/>
    <w:multiLevelType w:val="multilevel"/>
    <w:tmpl w:val="7D4A18DC"/>
    <w:styleLink w:val="NHSTableBullets"/>
    <w:lvl w:ilvl="0">
      <w:start w:val="1"/>
      <w:numFmt w:val="bullet"/>
      <w:pStyle w:val="TableBullet"/>
      <w:lvlText w:val=""/>
      <w:lvlJc w:val="left"/>
      <w:pPr>
        <w:tabs>
          <w:tab w:val="num" w:pos="852"/>
        </w:tabs>
        <w:ind w:left="852" w:hanging="284"/>
      </w:pPr>
      <w:rPr>
        <w:rFonts w:ascii="Symbol" w:hAnsi="Symbol" w:hint="default"/>
        <w:color w:val="005EB8"/>
      </w:rPr>
    </w:lvl>
    <w:lvl w:ilvl="1">
      <w:start w:val="1"/>
      <w:numFmt w:val="bullet"/>
      <w:pStyle w:val="TableBullet2"/>
      <w:lvlText w:val="‒"/>
      <w:lvlJc w:val="left"/>
      <w:pPr>
        <w:tabs>
          <w:tab w:val="num" w:pos="1135"/>
        </w:tabs>
        <w:ind w:left="1135" w:hanging="283"/>
      </w:pPr>
      <w:rPr>
        <w:rFonts w:ascii="Arial" w:hAnsi="Arial" w:cs="Times New Roman" w:hint="default"/>
        <w:color w:val="005EB8"/>
      </w:rPr>
    </w:lvl>
    <w:lvl w:ilvl="2">
      <w:start w:val="1"/>
      <w:numFmt w:val="lowerRoman"/>
      <w:lvlText w:val="%3)"/>
      <w:lvlJc w:val="left"/>
      <w:pPr>
        <w:ind w:left="1648" w:hanging="360"/>
      </w:pPr>
    </w:lvl>
    <w:lvl w:ilvl="3">
      <w:start w:val="1"/>
      <w:numFmt w:val="decimal"/>
      <w:lvlText w:val="(%4)"/>
      <w:lvlJc w:val="left"/>
      <w:pPr>
        <w:ind w:left="2008" w:hanging="360"/>
      </w:pPr>
    </w:lvl>
    <w:lvl w:ilvl="4">
      <w:start w:val="1"/>
      <w:numFmt w:val="lowerLetter"/>
      <w:lvlText w:val="(%5)"/>
      <w:lvlJc w:val="left"/>
      <w:pPr>
        <w:ind w:left="2368" w:hanging="360"/>
      </w:pPr>
    </w:lvl>
    <w:lvl w:ilvl="5">
      <w:start w:val="1"/>
      <w:numFmt w:val="lowerRoman"/>
      <w:lvlText w:val="(%6)"/>
      <w:lvlJc w:val="left"/>
      <w:pPr>
        <w:ind w:left="2728" w:hanging="360"/>
      </w:pPr>
    </w:lvl>
    <w:lvl w:ilvl="6">
      <w:start w:val="1"/>
      <w:numFmt w:val="decimal"/>
      <w:lvlText w:val="%7."/>
      <w:lvlJc w:val="left"/>
      <w:pPr>
        <w:ind w:left="3088" w:hanging="360"/>
      </w:pPr>
    </w:lvl>
    <w:lvl w:ilvl="7">
      <w:start w:val="1"/>
      <w:numFmt w:val="lowerLetter"/>
      <w:lvlText w:val="%8."/>
      <w:lvlJc w:val="left"/>
      <w:pPr>
        <w:ind w:left="3448" w:hanging="360"/>
      </w:pPr>
    </w:lvl>
    <w:lvl w:ilvl="8">
      <w:start w:val="1"/>
      <w:numFmt w:val="lowerRoman"/>
      <w:lvlText w:val="%9."/>
      <w:lvlJc w:val="left"/>
      <w:pPr>
        <w:ind w:left="3808" w:hanging="360"/>
      </w:pPr>
    </w:lvl>
  </w:abstractNum>
  <w:abstractNum w:abstractNumId="2" w15:restartNumberingAfterBreak="0">
    <w:nsid w:val="2A204591"/>
    <w:multiLevelType w:val="hybridMultilevel"/>
    <w:tmpl w:val="075A7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ECB4971"/>
    <w:multiLevelType w:val="hybridMultilevel"/>
    <w:tmpl w:val="8A94E2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93487732">
    <w:abstractNumId w:val="1"/>
  </w:num>
  <w:num w:numId="2" w16cid:durableId="1801654501">
    <w:abstractNumId w:val="0"/>
  </w:num>
  <w:num w:numId="3" w16cid:durableId="860242583">
    <w:abstractNumId w:val="3"/>
  </w:num>
  <w:num w:numId="4" w16cid:durableId="8013872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8D7"/>
    <w:rsid w:val="003B48D7"/>
    <w:rsid w:val="006E03B6"/>
    <w:rsid w:val="008D510E"/>
    <w:rsid w:val="008E11F8"/>
    <w:rsid w:val="00C122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EF456"/>
  <w15:chartTrackingRefBased/>
  <w15:docId w15:val="{9D733665-1850-4DB9-9568-88A115E06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8D7"/>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B48D7"/>
    <w:rPr>
      <w:color w:val="0563C1"/>
      <w:u w:val="single"/>
    </w:rPr>
  </w:style>
  <w:style w:type="character" w:customStyle="1" w:styleId="NoSpacingChar">
    <w:name w:val="No Spacing Char"/>
    <w:basedOn w:val="DefaultParagraphFont"/>
    <w:link w:val="NoSpacing"/>
    <w:uiPriority w:val="1"/>
    <w:locked/>
    <w:rsid w:val="003B48D7"/>
    <w:rPr>
      <w:rFonts w:ascii="Arial" w:hAnsi="Arial" w:cs="Arial"/>
    </w:rPr>
  </w:style>
  <w:style w:type="paragraph" w:styleId="NoSpacing">
    <w:name w:val="No Spacing"/>
    <w:basedOn w:val="Normal"/>
    <w:link w:val="NoSpacingChar"/>
    <w:uiPriority w:val="1"/>
    <w:qFormat/>
    <w:rsid w:val="003B48D7"/>
    <w:rPr>
      <w:rFonts w:ascii="Arial" w:hAnsi="Arial" w:cs="Arial"/>
    </w:rPr>
  </w:style>
  <w:style w:type="paragraph" w:styleId="ListParagraph">
    <w:name w:val="List Paragraph"/>
    <w:basedOn w:val="Normal"/>
    <w:uiPriority w:val="34"/>
    <w:qFormat/>
    <w:rsid w:val="003B48D7"/>
    <w:pPr>
      <w:ind w:left="720"/>
    </w:pPr>
  </w:style>
  <w:style w:type="paragraph" w:customStyle="1" w:styleId="TableBullet">
    <w:name w:val="Table Bullet"/>
    <w:basedOn w:val="Normal"/>
    <w:uiPriority w:val="18"/>
    <w:rsid w:val="003B48D7"/>
    <w:pPr>
      <w:numPr>
        <w:numId w:val="1"/>
      </w:numPr>
    </w:pPr>
    <w:rPr>
      <w:rFonts w:ascii="Arial" w:hAnsi="Arial" w:cs="Arial"/>
      <w:color w:val="231F20"/>
      <w:sz w:val="24"/>
      <w:szCs w:val="24"/>
    </w:rPr>
  </w:style>
  <w:style w:type="paragraph" w:customStyle="1" w:styleId="TableBullet2">
    <w:name w:val="Table Bullet 2"/>
    <w:basedOn w:val="Normal"/>
    <w:uiPriority w:val="18"/>
    <w:rsid w:val="003B48D7"/>
    <w:pPr>
      <w:numPr>
        <w:ilvl w:val="1"/>
        <w:numId w:val="1"/>
      </w:numPr>
    </w:pPr>
    <w:rPr>
      <w:rFonts w:ascii="Arial" w:hAnsi="Arial" w:cs="Arial"/>
      <w:color w:val="231F20"/>
      <w:sz w:val="24"/>
      <w:szCs w:val="24"/>
    </w:rPr>
  </w:style>
  <w:style w:type="character" w:customStyle="1" w:styleId="s1">
    <w:name w:val="s1"/>
    <w:basedOn w:val="DefaultParagraphFont"/>
    <w:rsid w:val="003B48D7"/>
  </w:style>
  <w:style w:type="character" w:customStyle="1" w:styleId="s2">
    <w:name w:val="s2"/>
    <w:basedOn w:val="DefaultParagraphFont"/>
    <w:rsid w:val="003B48D7"/>
  </w:style>
  <w:style w:type="numbering" w:customStyle="1" w:styleId="NHSTableBullets">
    <w:name w:val="NHS Table Bullets"/>
    <w:uiPriority w:val="99"/>
    <w:rsid w:val="003B48D7"/>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2907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gland.incident12@nhs.net" TargetMode="External"/><Relationship Id="rId3" Type="http://schemas.openxmlformats.org/officeDocument/2006/relationships/settings" Target="settings.xml"/><Relationship Id="rId7" Type="http://schemas.openxmlformats.org/officeDocument/2006/relationships/hyperlink" Target="https://www.england.nhs.uk/publication/monkeypo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ngland.nhs.uk/publication/monkeypox/" TargetMode="External"/><Relationship Id="rId11" Type="http://schemas.openxmlformats.org/officeDocument/2006/relationships/theme" Target="theme/theme1.xml"/><Relationship Id="rId5" Type="http://schemas.openxmlformats.org/officeDocument/2006/relationships/hyperlink" Target="https://www.england.nhs.uk/publication/monkeypox/"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england.nhs.uk/publication/monkeypo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705</Words>
  <Characters>4021</Characters>
  <Application>Microsoft Office Word</Application>
  <DocSecurity>0</DocSecurity>
  <Lines>33</Lines>
  <Paragraphs>9</Paragraphs>
  <ScaleCrop>false</ScaleCrop>
  <Company/>
  <LinksUpToDate>false</LinksUpToDate>
  <CharactersWithSpaces>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DUGGAL, Nisha (NHS FRIMLEY CCG)</cp:lastModifiedBy>
  <cp:revision>2</cp:revision>
  <dcterms:created xsi:type="dcterms:W3CDTF">2022-06-28T13:47:00Z</dcterms:created>
  <dcterms:modified xsi:type="dcterms:W3CDTF">2022-06-28T13:47:00Z</dcterms:modified>
</cp:coreProperties>
</file>