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56C20" w14:textId="77777777" w:rsidR="00FC51ED" w:rsidRDefault="00FC51ED" w:rsidP="00FC51ED">
      <w:pPr>
        <w:spacing w:after="160" w:line="252" w:lineRule="auto"/>
        <w:jc w:val="both"/>
        <w:rPr>
          <w:rFonts w:ascii="Arial" w:hAnsi="Arial" w:cs="Arial"/>
          <w:b/>
          <w:bCs/>
          <w:color w:val="000000"/>
          <w:sz w:val="24"/>
          <w:szCs w:val="24"/>
        </w:rPr>
      </w:pPr>
      <w:r w:rsidRPr="009C4639">
        <w:rPr>
          <w:rFonts w:ascii="Arial" w:hAnsi="Arial" w:cs="Arial"/>
          <w:b/>
          <w:bCs/>
          <w:color w:val="000000"/>
          <w:sz w:val="24"/>
          <w:szCs w:val="24"/>
        </w:rPr>
        <w:t>Relocation of Cellular Pathology services in Berkshire to a centralised hub: 27 - 29 January 2022 </w:t>
      </w:r>
      <w:r>
        <w:rPr>
          <w:rFonts w:ascii="Arial" w:hAnsi="Arial" w:cs="Arial"/>
          <w:b/>
          <w:bCs/>
          <w:color w:val="000000"/>
          <w:sz w:val="24"/>
          <w:szCs w:val="24"/>
        </w:rPr>
        <w:t>– East Berkshire only</w:t>
      </w:r>
    </w:p>
    <w:p w14:paraId="2FA20462"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Service users will not notice any changes and are advised to keep sending samples to Pathology specimen reception (at either Royal Berks or Wexham Park) as they do normally.  </w:t>
      </w:r>
    </w:p>
    <w:p w14:paraId="065C0F3B"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As part of the completion of the incorporation of Royal Berkshire Pathology into Berkshire and Surrey Pathology service (BSPS) and the formation of the Berkshire Cellular Pathology hub, the Cellular Pathology department will be moving from its current location at the Royal Berkshire Hospital site (in South block building) to a new location at Harborne House on the White Knight’s campus of Reading University. </w:t>
      </w:r>
    </w:p>
    <w:p w14:paraId="14C1034F"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The formation of the BSPS Berkshire Cellular Pathology hub also includes the move of the Wexham Park Hospital Cellular Pathology department from its current site at Wexham Park Hospital into the Harborne House building at Reading. </w:t>
      </w:r>
    </w:p>
    <w:p w14:paraId="4BA89C01"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The new site will contain all the laboratory processing parts of the service for both sites and samples will be received and processed at the new site with slides reported by the consultants. </w:t>
      </w:r>
    </w:p>
    <w:p w14:paraId="1E75B5F2"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The consolidation of the two departments will allow all Histology processes including immunohistochemistry, special staining and, in the future, digital slide scanning to be in one location. </w:t>
      </w:r>
    </w:p>
    <w:p w14:paraId="24D1C7C1"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 xml:space="preserve">The service configuration will be as </w:t>
      </w:r>
      <w:proofErr w:type="gramStart"/>
      <w:r w:rsidRPr="009C4639">
        <w:rPr>
          <w:rFonts w:ascii="Arial" w:hAnsi="Arial" w:cs="Arial"/>
          <w:color w:val="000000"/>
        </w:rPr>
        <w:t>follows;</w:t>
      </w:r>
      <w:proofErr w:type="gramEnd"/>
      <w:r w:rsidRPr="009C4639">
        <w:rPr>
          <w:rFonts w:ascii="Arial" w:hAnsi="Arial" w:cs="Arial"/>
          <w:color w:val="000000"/>
        </w:rPr>
        <w:t> </w:t>
      </w:r>
    </w:p>
    <w:tbl>
      <w:tblPr>
        <w:tblpPr w:leftFromText="180" w:rightFromText="180" w:vertAnchor="text"/>
        <w:tblW w:w="70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392"/>
        <w:gridCol w:w="3686"/>
      </w:tblGrid>
      <w:tr w:rsidR="00FC51ED" w:rsidRPr="009C4639" w14:paraId="34DC2F1F" w14:textId="77777777" w:rsidTr="001A31B4">
        <w:trPr>
          <w:trHeight w:val="285"/>
        </w:trPr>
        <w:tc>
          <w:tcPr>
            <w:tcW w:w="3392" w:type="dxa"/>
            <w:shd w:val="clear" w:color="auto" w:fill="D9E1F2"/>
            <w:tcMar>
              <w:top w:w="0" w:type="dxa"/>
              <w:left w:w="108" w:type="dxa"/>
              <w:bottom w:w="0" w:type="dxa"/>
              <w:right w:w="108" w:type="dxa"/>
            </w:tcMar>
            <w:vAlign w:val="bottom"/>
            <w:hideMark/>
          </w:tcPr>
          <w:p w14:paraId="1EE8EB7E" w14:textId="77777777" w:rsidR="00FC51ED" w:rsidRPr="009C4639" w:rsidRDefault="00FC51ED" w:rsidP="001A31B4">
            <w:pPr>
              <w:jc w:val="both"/>
              <w:rPr>
                <w:rFonts w:ascii="Arial" w:hAnsi="Arial" w:cs="Arial"/>
              </w:rPr>
            </w:pPr>
            <w:r w:rsidRPr="009C4639">
              <w:rPr>
                <w:rFonts w:ascii="Arial" w:hAnsi="Arial" w:cs="Arial"/>
                <w:color w:val="000000"/>
              </w:rPr>
              <w:t>RBH Medical Team </w:t>
            </w:r>
          </w:p>
        </w:tc>
        <w:tc>
          <w:tcPr>
            <w:tcW w:w="3686" w:type="dxa"/>
            <w:shd w:val="clear" w:color="auto" w:fill="D9E1F2"/>
            <w:tcMar>
              <w:top w:w="0" w:type="dxa"/>
              <w:left w:w="108" w:type="dxa"/>
              <w:bottom w:w="0" w:type="dxa"/>
              <w:right w:w="108" w:type="dxa"/>
            </w:tcMar>
            <w:vAlign w:val="bottom"/>
            <w:hideMark/>
          </w:tcPr>
          <w:p w14:paraId="689EF2F9" w14:textId="77777777" w:rsidR="00FC51ED" w:rsidRPr="009C4639" w:rsidRDefault="00FC51ED" w:rsidP="001A31B4">
            <w:pPr>
              <w:jc w:val="both"/>
              <w:rPr>
                <w:rFonts w:ascii="Arial" w:hAnsi="Arial" w:cs="Arial"/>
              </w:rPr>
            </w:pPr>
            <w:r w:rsidRPr="009C4639">
              <w:rPr>
                <w:rFonts w:ascii="Arial" w:hAnsi="Arial" w:cs="Arial"/>
                <w:color w:val="000000"/>
              </w:rPr>
              <w:t>Relocating to Harborne Building </w:t>
            </w:r>
          </w:p>
        </w:tc>
      </w:tr>
      <w:tr w:rsidR="00FC51ED" w:rsidRPr="009C4639" w14:paraId="35B129C0" w14:textId="77777777" w:rsidTr="001A31B4">
        <w:trPr>
          <w:trHeight w:val="285"/>
        </w:trPr>
        <w:tc>
          <w:tcPr>
            <w:tcW w:w="3392" w:type="dxa"/>
            <w:tcMar>
              <w:top w:w="0" w:type="dxa"/>
              <w:left w:w="108" w:type="dxa"/>
              <w:bottom w:w="0" w:type="dxa"/>
              <w:right w:w="108" w:type="dxa"/>
            </w:tcMar>
            <w:vAlign w:val="bottom"/>
            <w:hideMark/>
          </w:tcPr>
          <w:p w14:paraId="7E088AFB" w14:textId="77777777" w:rsidR="00FC51ED" w:rsidRPr="009C4639" w:rsidRDefault="00FC51ED" w:rsidP="001A31B4">
            <w:pPr>
              <w:jc w:val="both"/>
              <w:rPr>
                <w:rFonts w:ascii="Arial" w:hAnsi="Arial" w:cs="Arial"/>
              </w:rPr>
            </w:pPr>
            <w:r w:rsidRPr="009C4639">
              <w:rPr>
                <w:rFonts w:ascii="Arial" w:hAnsi="Arial" w:cs="Arial"/>
                <w:color w:val="000000"/>
              </w:rPr>
              <w:t>WPH Medical Team </w:t>
            </w:r>
          </w:p>
        </w:tc>
        <w:tc>
          <w:tcPr>
            <w:tcW w:w="3686" w:type="dxa"/>
            <w:tcMar>
              <w:top w:w="0" w:type="dxa"/>
              <w:left w:w="108" w:type="dxa"/>
              <w:bottom w:w="0" w:type="dxa"/>
              <w:right w:w="108" w:type="dxa"/>
            </w:tcMar>
            <w:vAlign w:val="bottom"/>
            <w:hideMark/>
          </w:tcPr>
          <w:p w14:paraId="28C8AD68" w14:textId="77777777" w:rsidR="00FC51ED" w:rsidRPr="009C4639" w:rsidRDefault="00FC51ED" w:rsidP="001A31B4">
            <w:pPr>
              <w:jc w:val="both"/>
              <w:rPr>
                <w:rFonts w:ascii="Arial" w:hAnsi="Arial" w:cs="Arial"/>
              </w:rPr>
            </w:pPr>
            <w:r w:rsidRPr="009C4639">
              <w:rPr>
                <w:rFonts w:ascii="Arial" w:hAnsi="Arial" w:cs="Arial"/>
                <w:color w:val="000000"/>
              </w:rPr>
              <w:t>Remaining at WPH </w:t>
            </w:r>
          </w:p>
        </w:tc>
      </w:tr>
      <w:tr w:rsidR="00FC51ED" w:rsidRPr="009C4639" w14:paraId="639BCB2A" w14:textId="77777777" w:rsidTr="001A31B4">
        <w:trPr>
          <w:trHeight w:val="285"/>
        </w:trPr>
        <w:tc>
          <w:tcPr>
            <w:tcW w:w="3392" w:type="dxa"/>
            <w:shd w:val="clear" w:color="auto" w:fill="D9E1F2"/>
            <w:tcMar>
              <w:top w:w="0" w:type="dxa"/>
              <w:left w:w="108" w:type="dxa"/>
              <w:bottom w:w="0" w:type="dxa"/>
              <w:right w:w="108" w:type="dxa"/>
            </w:tcMar>
            <w:vAlign w:val="bottom"/>
            <w:hideMark/>
          </w:tcPr>
          <w:p w14:paraId="689B82B7" w14:textId="77777777" w:rsidR="00FC51ED" w:rsidRPr="009C4639" w:rsidRDefault="00FC51ED" w:rsidP="001A31B4">
            <w:pPr>
              <w:jc w:val="both"/>
              <w:rPr>
                <w:rFonts w:ascii="Arial" w:hAnsi="Arial" w:cs="Arial"/>
              </w:rPr>
            </w:pPr>
            <w:r w:rsidRPr="009C4639">
              <w:rPr>
                <w:rFonts w:ascii="Arial" w:hAnsi="Arial" w:cs="Arial"/>
                <w:color w:val="000000"/>
              </w:rPr>
              <w:t>RBH OSNA Service </w:t>
            </w:r>
          </w:p>
        </w:tc>
        <w:tc>
          <w:tcPr>
            <w:tcW w:w="3686" w:type="dxa"/>
            <w:shd w:val="clear" w:color="auto" w:fill="D9E1F2"/>
            <w:tcMar>
              <w:top w:w="0" w:type="dxa"/>
              <w:left w:w="108" w:type="dxa"/>
              <w:bottom w:w="0" w:type="dxa"/>
              <w:right w:w="108" w:type="dxa"/>
            </w:tcMar>
            <w:vAlign w:val="bottom"/>
            <w:hideMark/>
          </w:tcPr>
          <w:p w14:paraId="30F289C3" w14:textId="77777777" w:rsidR="00FC51ED" w:rsidRPr="009C4639" w:rsidRDefault="00FC51ED" w:rsidP="001A31B4">
            <w:pPr>
              <w:jc w:val="both"/>
              <w:rPr>
                <w:rFonts w:ascii="Arial" w:hAnsi="Arial" w:cs="Arial"/>
              </w:rPr>
            </w:pPr>
            <w:r w:rsidRPr="009C4639">
              <w:rPr>
                <w:rFonts w:ascii="Arial" w:hAnsi="Arial" w:cs="Arial"/>
                <w:color w:val="000000"/>
              </w:rPr>
              <w:t>Relocating to Harborne Building </w:t>
            </w:r>
          </w:p>
        </w:tc>
      </w:tr>
      <w:tr w:rsidR="00FC51ED" w:rsidRPr="009C4639" w14:paraId="4E5A1049" w14:textId="77777777" w:rsidTr="001A31B4">
        <w:trPr>
          <w:trHeight w:val="285"/>
        </w:trPr>
        <w:tc>
          <w:tcPr>
            <w:tcW w:w="3392" w:type="dxa"/>
            <w:tcMar>
              <w:top w:w="0" w:type="dxa"/>
              <w:left w:w="108" w:type="dxa"/>
              <w:bottom w:w="0" w:type="dxa"/>
              <w:right w:w="108" w:type="dxa"/>
            </w:tcMar>
            <w:vAlign w:val="bottom"/>
            <w:hideMark/>
          </w:tcPr>
          <w:p w14:paraId="6ACDF57A" w14:textId="77777777" w:rsidR="00FC51ED" w:rsidRPr="009C4639" w:rsidRDefault="00FC51ED" w:rsidP="001A31B4">
            <w:pPr>
              <w:jc w:val="both"/>
              <w:rPr>
                <w:rFonts w:ascii="Arial" w:hAnsi="Arial" w:cs="Arial"/>
              </w:rPr>
            </w:pPr>
            <w:r w:rsidRPr="009C4639">
              <w:rPr>
                <w:rFonts w:ascii="Arial" w:hAnsi="Arial" w:cs="Arial"/>
                <w:color w:val="000000"/>
              </w:rPr>
              <w:t>RBH Frozen Section Service </w:t>
            </w:r>
          </w:p>
        </w:tc>
        <w:tc>
          <w:tcPr>
            <w:tcW w:w="3686" w:type="dxa"/>
            <w:tcMar>
              <w:top w:w="0" w:type="dxa"/>
              <w:left w:w="108" w:type="dxa"/>
              <w:bottom w:w="0" w:type="dxa"/>
              <w:right w:w="108" w:type="dxa"/>
            </w:tcMar>
            <w:vAlign w:val="bottom"/>
            <w:hideMark/>
          </w:tcPr>
          <w:p w14:paraId="7A4F46BF" w14:textId="77777777" w:rsidR="00FC51ED" w:rsidRPr="009C4639" w:rsidRDefault="00FC51ED" w:rsidP="001A31B4">
            <w:pPr>
              <w:jc w:val="both"/>
              <w:rPr>
                <w:rFonts w:ascii="Arial" w:hAnsi="Arial" w:cs="Arial"/>
              </w:rPr>
            </w:pPr>
            <w:r w:rsidRPr="009C4639">
              <w:rPr>
                <w:rFonts w:ascii="Arial" w:hAnsi="Arial" w:cs="Arial"/>
                <w:color w:val="000000"/>
              </w:rPr>
              <w:t>Relocating to Harborne Building </w:t>
            </w:r>
          </w:p>
        </w:tc>
      </w:tr>
      <w:tr w:rsidR="00FC51ED" w:rsidRPr="009C4639" w14:paraId="650428E3" w14:textId="77777777" w:rsidTr="001A31B4">
        <w:trPr>
          <w:trHeight w:val="285"/>
        </w:trPr>
        <w:tc>
          <w:tcPr>
            <w:tcW w:w="3392" w:type="dxa"/>
            <w:shd w:val="clear" w:color="auto" w:fill="D9E1F2"/>
            <w:tcMar>
              <w:top w:w="0" w:type="dxa"/>
              <w:left w:w="108" w:type="dxa"/>
              <w:bottom w:w="0" w:type="dxa"/>
              <w:right w:w="108" w:type="dxa"/>
            </w:tcMar>
            <w:vAlign w:val="bottom"/>
            <w:hideMark/>
          </w:tcPr>
          <w:p w14:paraId="702FA6F2" w14:textId="77777777" w:rsidR="00FC51ED" w:rsidRPr="009C4639" w:rsidRDefault="00FC51ED" w:rsidP="001A31B4">
            <w:pPr>
              <w:jc w:val="both"/>
              <w:rPr>
                <w:rFonts w:ascii="Arial" w:hAnsi="Arial" w:cs="Arial"/>
              </w:rPr>
            </w:pPr>
            <w:r w:rsidRPr="009C4639">
              <w:rPr>
                <w:rFonts w:ascii="Arial" w:hAnsi="Arial" w:cs="Arial"/>
                <w:color w:val="000000"/>
              </w:rPr>
              <w:t>HWPH OSNA Service </w:t>
            </w:r>
          </w:p>
        </w:tc>
        <w:tc>
          <w:tcPr>
            <w:tcW w:w="3686" w:type="dxa"/>
            <w:shd w:val="clear" w:color="auto" w:fill="D9E1F2"/>
            <w:tcMar>
              <w:top w:w="0" w:type="dxa"/>
              <w:left w:w="108" w:type="dxa"/>
              <w:bottom w:w="0" w:type="dxa"/>
              <w:right w:w="108" w:type="dxa"/>
            </w:tcMar>
            <w:vAlign w:val="bottom"/>
            <w:hideMark/>
          </w:tcPr>
          <w:p w14:paraId="6F24775D" w14:textId="77777777" w:rsidR="00FC51ED" w:rsidRPr="009C4639" w:rsidRDefault="00FC51ED" w:rsidP="001A31B4">
            <w:pPr>
              <w:jc w:val="both"/>
              <w:rPr>
                <w:rFonts w:ascii="Arial" w:hAnsi="Arial" w:cs="Arial"/>
              </w:rPr>
            </w:pPr>
            <w:r w:rsidRPr="009C4639">
              <w:rPr>
                <w:rFonts w:ascii="Arial" w:hAnsi="Arial" w:cs="Arial"/>
                <w:color w:val="000000"/>
              </w:rPr>
              <w:t>Remaining at HWPH </w:t>
            </w:r>
          </w:p>
        </w:tc>
      </w:tr>
      <w:tr w:rsidR="00FC51ED" w:rsidRPr="009C4639" w14:paraId="6D4C5EE7" w14:textId="77777777" w:rsidTr="001A31B4">
        <w:trPr>
          <w:trHeight w:val="285"/>
        </w:trPr>
        <w:tc>
          <w:tcPr>
            <w:tcW w:w="3392" w:type="dxa"/>
            <w:tcMar>
              <w:top w:w="0" w:type="dxa"/>
              <w:left w:w="108" w:type="dxa"/>
              <w:bottom w:w="0" w:type="dxa"/>
              <w:right w:w="108" w:type="dxa"/>
            </w:tcMar>
            <w:vAlign w:val="bottom"/>
            <w:hideMark/>
          </w:tcPr>
          <w:p w14:paraId="6BA18147" w14:textId="77777777" w:rsidR="00FC51ED" w:rsidRPr="009C4639" w:rsidRDefault="00FC51ED" w:rsidP="001A31B4">
            <w:pPr>
              <w:jc w:val="both"/>
              <w:rPr>
                <w:rFonts w:ascii="Arial" w:hAnsi="Arial" w:cs="Arial"/>
              </w:rPr>
            </w:pPr>
            <w:r w:rsidRPr="009C4639">
              <w:rPr>
                <w:rFonts w:ascii="Arial" w:hAnsi="Arial" w:cs="Arial"/>
                <w:color w:val="000000"/>
              </w:rPr>
              <w:t>WPH Frozen Section Service </w:t>
            </w:r>
          </w:p>
        </w:tc>
        <w:tc>
          <w:tcPr>
            <w:tcW w:w="3686" w:type="dxa"/>
            <w:tcMar>
              <w:top w:w="0" w:type="dxa"/>
              <w:left w:w="108" w:type="dxa"/>
              <w:bottom w:w="0" w:type="dxa"/>
              <w:right w:w="108" w:type="dxa"/>
            </w:tcMar>
            <w:vAlign w:val="bottom"/>
            <w:hideMark/>
          </w:tcPr>
          <w:p w14:paraId="2DE96174" w14:textId="77777777" w:rsidR="00FC51ED" w:rsidRPr="009C4639" w:rsidRDefault="00FC51ED" w:rsidP="001A31B4">
            <w:pPr>
              <w:jc w:val="both"/>
              <w:rPr>
                <w:rFonts w:ascii="Arial" w:hAnsi="Arial" w:cs="Arial"/>
              </w:rPr>
            </w:pPr>
            <w:r w:rsidRPr="009C4639">
              <w:rPr>
                <w:rFonts w:ascii="Arial" w:hAnsi="Arial" w:cs="Arial"/>
                <w:color w:val="000000"/>
              </w:rPr>
              <w:t>Remaining at WPH </w:t>
            </w:r>
          </w:p>
        </w:tc>
      </w:tr>
      <w:tr w:rsidR="00FC51ED" w:rsidRPr="009C4639" w14:paraId="365969AF" w14:textId="77777777" w:rsidTr="001A31B4">
        <w:trPr>
          <w:trHeight w:val="285"/>
        </w:trPr>
        <w:tc>
          <w:tcPr>
            <w:tcW w:w="3392" w:type="dxa"/>
            <w:shd w:val="clear" w:color="auto" w:fill="D9E1F2"/>
            <w:tcMar>
              <w:top w:w="0" w:type="dxa"/>
              <w:left w:w="108" w:type="dxa"/>
              <w:bottom w:w="0" w:type="dxa"/>
              <w:right w:w="108" w:type="dxa"/>
            </w:tcMar>
            <w:vAlign w:val="bottom"/>
            <w:hideMark/>
          </w:tcPr>
          <w:p w14:paraId="25E1B3DD" w14:textId="77777777" w:rsidR="00FC51ED" w:rsidRPr="009C4639" w:rsidRDefault="00FC51ED" w:rsidP="001A31B4">
            <w:pPr>
              <w:jc w:val="both"/>
              <w:rPr>
                <w:rFonts w:ascii="Arial" w:hAnsi="Arial" w:cs="Arial"/>
              </w:rPr>
            </w:pPr>
            <w:r w:rsidRPr="009C4639">
              <w:rPr>
                <w:rFonts w:ascii="Arial" w:hAnsi="Arial" w:cs="Arial"/>
                <w:color w:val="000000"/>
              </w:rPr>
              <w:t>RBH Non-Gynae Service </w:t>
            </w:r>
          </w:p>
        </w:tc>
        <w:tc>
          <w:tcPr>
            <w:tcW w:w="3686" w:type="dxa"/>
            <w:shd w:val="clear" w:color="auto" w:fill="D9E1F2"/>
            <w:tcMar>
              <w:top w:w="0" w:type="dxa"/>
              <w:left w:w="108" w:type="dxa"/>
              <w:bottom w:w="0" w:type="dxa"/>
              <w:right w:w="108" w:type="dxa"/>
            </w:tcMar>
            <w:vAlign w:val="bottom"/>
            <w:hideMark/>
          </w:tcPr>
          <w:p w14:paraId="5EBDE725" w14:textId="77777777" w:rsidR="00FC51ED" w:rsidRPr="009C4639" w:rsidRDefault="00FC51ED" w:rsidP="001A31B4">
            <w:pPr>
              <w:jc w:val="both"/>
              <w:rPr>
                <w:rFonts w:ascii="Arial" w:hAnsi="Arial" w:cs="Arial"/>
              </w:rPr>
            </w:pPr>
            <w:r w:rsidRPr="009C4639">
              <w:rPr>
                <w:rFonts w:ascii="Arial" w:hAnsi="Arial" w:cs="Arial"/>
                <w:color w:val="000000"/>
              </w:rPr>
              <w:t>Relocating to Harborne Building </w:t>
            </w:r>
          </w:p>
        </w:tc>
      </w:tr>
      <w:tr w:rsidR="00FC51ED" w:rsidRPr="009C4639" w14:paraId="160A41BF" w14:textId="77777777" w:rsidTr="001A31B4">
        <w:trPr>
          <w:trHeight w:val="285"/>
        </w:trPr>
        <w:tc>
          <w:tcPr>
            <w:tcW w:w="3392" w:type="dxa"/>
            <w:tcMar>
              <w:top w:w="0" w:type="dxa"/>
              <w:left w:w="108" w:type="dxa"/>
              <w:bottom w:w="0" w:type="dxa"/>
              <w:right w:w="108" w:type="dxa"/>
            </w:tcMar>
            <w:vAlign w:val="bottom"/>
            <w:hideMark/>
          </w:tcPr>
          <w:p w14:paraId="1F381FFD" w14:textId="77777777" w:rsidR="00FC51ED" w:rsidRPr="009C4639" w:rsidRDefault="00FC51ED" w:rsidP="001A31B4">
            <w:pPr>
              <w:jc w:val="both"/>
              <w:rPr>
                <w:rFonts w:ascii="Arial" w:hAnsi="Arial" w:cs="Arial"/>
              </w:rPr>
            </w:pPr>
            <w:r w:rsidRPr="009C4639">
              <w:rPr>
                <w:rFonts w:ascii="Arial" w:hAnsi="Arial" w:cs="Arial"/>
                <w:color w:val="000000"/>
              </w:rPr>
              <w:t>WPH Non-Gynae Service </w:t>
            </w:r>
          </w:p>
        </w:tc>
        <w:tc>
          <w:tcPr>
            <w:tcW w:w="3686" w:type="dxa"/>
            <w:tcMar>
              <w:top w:w="0" w:type="dxa"/>
              <w:left w:w="108" w:type="dxa"/>
              <w:bottom w:w="0" w:type="dxa"/>
              <w:right w:w="108" w:type="dxa"/>
            </w:tcMar>
            <w:vAlign w:val="bottom"/>
            <w:hideMark/>
          </w:tcPr>
          <w:p w14:paraId="472FF657" w14:textId="77777777" w:rsidR="00FC51ED" w:rsidRPr="009C4639" w:rsidRDefault="00FC51ED" w:rsidP="001A31B4">
            <w:pPr>
              <w:jc w:val="both"/>
              <w:rPr>
                <w:rFonts w:ascii="Arial" w:hAnsi="Arial" w:cs="Arial"/>
              </w:rPr>
            </w:pPr>
            <w:r w:rsidRPr="009C4639">
              <w:rPr>
                <w:rFonts w:ascii="Arial" w:hAnsi="Arial" w:cs="Arial"/>
                <w:color w:val="000000"/>
              </w:rPr>
              <w:t>Relocating to Harborne Building </w:t>
            </w:r>
          </w:p>
        </w:tc>
      </w:tr>
    </w:tbl>
    <w:p w14:paraId="22890392" w14:textId="77777777" w:rsidR="00FC51ED" w:rsidRDefault="00FC51ED" w:rsidP="00FC51ED">
      <w:pPr>
        <w:spacing w:after="160" w:line="252" w:lineRule="auto"/>
        <w:jc w:val="both"/>
        <w:rPr>
          <w:color w:val="000000"/>
        </w:rPr>
      </w:pPr>
      <w:r>
        <w:rPr>
          <w:color w:val="000000"/>
        </w:rPr>
        <w:t> </w:t>
      </w:r>
    </w:p>
    <w:p w14:paraId="7D5AC0F1" w14:textId="77777777" w:rsidR="00FC51ED" w:rsidRDefault="00FC51ED" w:rsidP="00FC51ED">
      <w:pPr>
        <w:spacing w:after="160" w:line="252" w:lineRule="auto"/>
        <w:jc w:val="both"/>
        <w:rPr>
          <w:color w:val="000000"/>
        </w:rPr>
      </w:pPr>
      <w:r>
        <w:rPr>
          <w:color w:val="000000"/>
        </w:rPr>
        <w:t> </w:t>
      </w:r>
    </w:p>
    <w:p w14:paraId="1DA8D3A4" w14:textId="77777777" w:rsidR="00FC51ED" w:rsidRDefault="00FC51ED" w:rsidP="00FC51ED">
      <w:pPr>
        <w:spacing w:after="160" w:line="252" w:lineRule="auto"/>
        <w:jc w:val="both"/>
        <w:rPr>
          <w:color w:val="000000"/>
        </w:rPr>
      </w:pPr>
      <w:r>
        <w:rPr>
          <w:color w:val="000000"/>
        </w:rPr>
        <w:t> </w:t>
      </w:r>
    </w:p>
    <w:p w14:paraId="70CBF83E" w14:textId="77777777" w:rsidR="00FC51ED" w:rsidRDefault="00FC51ED" w:rsidP="00FC51ED">
      <w:pPr>
        <w:spacing w:after="160" w:line="252" w:lineRule="auto"/>
        <w:jc w:val="both"/>
        <w:rPr>
          <w:color w:val="000000"/>
        </w:rPr>
      </w:pPr>
      <w:r>
        <w:rPr>
          <w:color w:val="000000"/>
        </w:rPr>
        <w:t> </w:t>
      </w:r>
    </w:p>
    <w:p w14:paraId="5BFF4F2B" w14:textId="77777777" w:rsidR="00FC51ED" w:rsidRDefault="00FC51ED" w:rsidP="00FC51ED">
      <w:pPr>
        <w:spacing w:after="160" w:line="252" w:lineRule="auto"/>
        <w:jc w:val="both"/>
        <w:rPr>
          <w:color w:val="000000"/>
        </w:rPr>
      </w:pPr>
      <w:r>
        <w:rPr>
          <w:color w:val="000000"/>
        </w:rPr>
        <w:t> </w:t>
      </w:r>
    </w:p>
    <w:p w14:paraId="6C8D0D25" w14:textId="77777777" w:rsidR="00FC51ED" w:rsidRDefault="00FC51ED" w:rsidP="00FC51ED">
      <w:pPr>
        <w:spacing w:after="160" w:line="252" w:lineRule="auto"/>
        <w:jc w:val="both"/>
        <w:rPr>
          <w:color w:val="000000"/>
        </w:rPr>
      </w:pPr>
      <w:r>
        <w:rPr>
          <w:color w:val="000000"/>
        </w:rPr>
        <w:t> </w:t>
      </w:r>
    </w:p>
    <w:p w14:paraId="7A3E2D30"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 xml:space="preserve">The relocation of the services to the Harborne hub site is scheduled for </w:t>
      </w:r>
      <w:r w:rsidRPr="009C4639">
        <w:rPr>
          <w:rFonts w:ascii="Arial" w:hAnsi="Arial" w:cs="Arial"/>
          <w:b/>
          <w:bCs/>
          <w:color w:val="000000"/>
        </w:rPr>
        <w:t>27</w:t>
      </w:r>
      <w:r w:rsidRPr="009C4639">
        <w:rPr>
          <w:rFonts w:ascii="Arial" w:hAnsi="Arial" w:cs="Arial"/>
          <w:b/>
          <w:bCs/>
          <w:color w:val="000000"/>
          <w:vertAlign w:val="superscript"/>
        </w:rPr>
        <w:t>th</w:t>
      </w:r>
      <w:r w:rsidRPr="009C4639">
        <w:rPr>
          <w:rFonts w:ascii="Arial" w:hAnsi="Arial" w:cs="Arial"/>
          <w:b/>
          <w:bCs/>
          <w:color w:val="000000"/>
        </w:rPr>
        <w:t xml:space="preserve"> – 29</w:t>
      </w:r>
      <w:r w:rsidRPr="009C4639">
        <w:rPr>
          <w:rFonts w:ascii="Arial" w:hAnsi="Arial" w:cs="Arial"/>
          <w:b/>
          <w:bCs/>
          <w:color w:val="000000"/>
          <w:vertAlign w:val="superscript"/>
        </w:rPr>
        <w:t>th</w:t>
      </w:r>
      <w:r w:rsidRPr="009C4639">
        <w:rPr>
          <w:rFonts w:ascii="Arial" w:hAnsi="Arial" w:cs="Arial"/>
          <w:b/>
          <w:bCs/>
          <w:color w:val="000000"/>
        </w:rPr>
        <w:t xml:space="preserve"> January 2022</w:t>
      </w:r>
      <w:r w:rsidRPr="009C4639">
        <w:rPr>
          <w:rFonts w:ascii="Arial" w:hAnsi="Arial" w:cs="Arial"/>
          <w:color w:val="000000"/>
        </w:rPr>
        <w:t>.    </w:t>
      </w:r>
    </w:p>
    <w:p w14:paraId="3E58883E" w14:textId="77777777" w:rsidR="00FC51ED" w:rsidRPr="009C4639" w:rsidRDefault="00FC51ED" w:rsidP="00FC51ED">
      <w:pPr>
        <w:spacing w:after="160" w:line="252" w:lineRule="auto"/>
        <w:jc w:val="both"/>
        <w:rPr>
          <w:rFonts w:ascii="Arial" w:hAnsi="Arial" w:cs="Arial"/>
          <w:i/>
          <w:iCs/>
          <w:color w:val="000000"/>
        </w:rPr>
      </w:pPr>
      <w:r w:rsidRPr="009C4639">
        <w:rPr>
          <w:rFonts w:ascii="Arial" w:hAnsi="Arial" w:cs="Arial"/>
          <w:b/>
          <w:bCs/>
          <w:i/>
          <w:iCs/>
          <w:color w:val="000000"/>
        </w:rPr>
        <w:t>How will this change affect CCG/GPs/primary care users? </w:t>
      </w:r>
    </w:p>
    <w:p w14:paraId="656F8B76"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Service users will not notice any changes and are advised to keep sending samples to Pathology specimen reception (at either Royal Berks or Wexham Park) as they do normally.  </w:t>
      </w:r>
    </w:p>
    <w:p w14:paraId="03461F03" w14:textId="77777777" w:rsidR="00FC51ED" w:rsidRPr="009C4639" w:rsidRDefault="00FC51ED" w:rsidP="00FC51ED">
      <w:pPr>
        <w:spacing w:after="160" w:line="252" w:lineRule="auto"/>
        <w:jc w:val="both"/>
        <w:rPr>
          <w:rFonts w:ascii="Arial" w:hAnsi="Arial" w:cs="Arial"/>
          <w:color w:val="000000"/>
        </w:rPr>
      </w:pPr>
      <w:r w:rsidRPr="009C4639">
        <w:rPr>
          <w:rFonts w:ascii="Arial" w:hAnsi="Arial" w:cs="Arial"/>
          <w:color w:val="000000"/>
        </w:rPr>
        <w:t>If you have any queries or concerns regarding this move or the impact on your service, please do not hesitate to contact any of the following:  </w:t>
      </w:r>
    </w:p>
    <w:p w14:paraId="34207435" w14:textId="77777777" w:rsidR="00FC51ED" w:rsidRDefault="00FC51ED" w:rsidP="00FC51ED">
      <w:pPr>
        <w:numPr>
          <w:ilvl w:val="0"/>
          <w:numId w:val="1"/>
        </w:numPr>
        <w:spacing w:before="100" w:beforeAutospacing="1" w:after="100" w:afterAutospacing="1"/>
        <w:rPr>
          <w:rFonts w:ascii="Arial" w:eastAsia="Times New Roman" w:hAnsi="Arial" w:cs="Arial"/>
          <w:color w:val="000000"/>
        </w:rPr>
      </w:pPr>
      <w:r w:rsidRPr="009C4639">
        <w:rPr>
          <w:rFonts w:ascii="Arial" w:eastAsia="Times New Roman" w:hAnsi="Arial" w:cs="Arial"/>
          <w:color w:val="000000"/>
        </w:rPr>
        <w:t xml:space="preserve">Mandy Babington (Site Manager, Cellular Pathology) </w:t>
      </w:r>
      <w:hyperlink r:id="rId5" w:history="1">
        <w:r w:rsidRPr="009C4639">
          <w:rPr>
            <w:rStyle w:val="Hyperlink"/>
            <w:rFonts w:ascii="Arial" w:eastAsia="Times New Roman" w:hAnsi="Arial" w:cs="Arial"/>
            <w:color w:val="0070C0"/>
            <w:u w:val="single"/>
          </w:rPr>
          <w:t>Amanda.Babington@royalberkshire.nhs.uk</w:t>
        </w:r>
      </w:hyperlink>
      <w:r w:rsidRPr="009C4639">
        <w:rPr>
          <w:rFonts w:ascii="Arial" w:eastAsia="Times New Roman" w:hAnsi="Arial" w:cs="Arial"/>
          <w:color w:val="0070C0"/>
        </w:rPr>
        <w:t> </w:t>
      </w:r>
    </w:p>
    <w:p w14:paraId="5C16DEFC" w14:textId="77777777" w:rsidR="00FC51ED" w:rsidRPr="00EB7F55" w:rsidRDefault="00FC51ED" w:rsidP="00FC51ED">
      <w:pPr>
        <w:numPr>
          <w:ilvl w:val="0"/>
          <w:numId w:val="1"/>
        </w:numPr>
        <w:spacing w:before="100" w:beforeAutospacing="1" w:after="100" w:afterAutospacing="1"/>
        <w:rPr>
          <w:rFonts w:ascii="Arial" w:eastAsia="Times New Roman" w:hAnsi="Arial" w:cs="Arial"/>
          <w:color w:val="000000"/>
        </w:rPr>
      </w:pPr>
      <w:r w:rsidRPr="009C4639">
        <w:rPr>
          <w:rFonts w:ascii="Arial" w:hAnsi="Arial" w:cs="Arial"/>
          <w:color w:val="000000"/>
        </w:rPr>
        <w:t xml:space="preserve">Helen Phillips (General Manager, Cellular Pathology)  </w:t>
      </w:r>
      <w:hyperlink r:id="rId6" w:history="1">
        <w:r w:rsidRPr="009C4639">
          <w:rPr>
            <w:rStyle w:val="Hyperlink"/>
            <w:rFonts w:ascii="Arial" w:hAnsi="Arial" w:cs="Arial"/>
            <w:color w:val="0070C0"/>
            <w:u w:val="single"/>
          </w:rPr>
          <w:t>helen.phillips12@nhs.net</w:t>
        </w:r>
      </w:hyperlink>
      <w:r w:rsidRPr="009C4639">
        <w:rPr>
          <w:rFonts w:ascii="Arial" w:hAnsi="Arial" w:cs="Arial"/>
          <w:color w:val="0070C0"/>
        </w:rPr>
        <w:t> </w:t>
      </w:r>
    </w:p>
    <w:p w14:paraId="0E63C82D" w14:textId="189A2DA2" w:rsidR="00E0134E" w:rsidRDefault="00FC51ED" w:rsidP="00FC51ED"/>
    <w:sectPr w:rsidR="00E0134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94D7702"/>
    <w:multiLevelType w:val="multilevel"/>
    <w:tmpl w:val="C13805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51ED"/>
    <w:rsid w:val="00526C66"/>
    <w:rsid w:val="00802293"/>
    <w:rsid w:val="009020A3"/>
    <w:rsid w:val="00BB5E57"/>
    <w:rsid w:val="00FC51E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5D9C49C"/>
  <w15:chartTrackingRefBased/>
  <w15:docId w15:val="{276F1C01-B2D8-4116-B0E9-7193A246F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C51ED"/>
    <w:pPr>
      <w:spacing w:after="0" w:line="240" w:lineRule="auto"/>
    </w:pPr>
    <w:rPr>
      <w:rFonts w:ascii="Calibri" w:hAnsi="Calibri" w:cs="Calibri"/>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C51ED"/>
  </w:style>
  <w:style w:type="character" w:styleId="CommentReference">
    <w:name w:val="annotation reference"/>
    <w:basedOn w:val="DefaultParagraphFont"/>
    <w:uiPriority w:val="99"/>
    <w:semiHidden/>
    <w:unhideWhenUsed/>
    <w:rsid w:val="00FC51ED"/>
    <w:rPr>
      <w:sz w:val="16"/>
      <w:szCs w:val="16"/>
    </w:rPr>
  </w:style>
  <w:style w:type="paragraph" w:styleId="CommentText">
    <w:name w:val="annotation text"/>
    <w:basedOn w:val="Normal"/>
    <w:link w:val="CommentTextChar"/>
    <w:uiPriority w:val="99"/>
    <w:semiHidden/>
    <w:unhideWhenUsed/>
    <w:rsid w:val="00FC51ED"/>
    <w:rPr>
      <w:sz w:val="20"/>
      <w:szCs w:val="20"/>
    </w:rPr>
  </w:style>
  <w:style w:type="character" w:customStyle="1" w:styleId="CommentTextChar">
    <w:name w:val="Comment Text Char"/>
    <w:basedOn w:val="DefaultParagraphFont"/>
    <w:link w:val="CommentText"/>
    <w:uiPriority w:val="99"/>
    <w:semiHidden/>
    <w:rsid w:val="00FC51ED"/>
    <w:rPr>
      <w:rFonts w:ascii="Calibri" w:hAnsi="Calibri" w:cs="Calibri"/>
      <w:sz w:val="20"/>
      <w:szCs w:val="20"/>
      <w:lang w:eastAsia="en-GB"/>
    </w:rPr>
  </w:style>
  <w:style w:type="paragraph" w:customStyle="1" w:styleId="xmsonormal">
    <w:name w:val="x_msonormal"/>
    <w:basedOn w:val="Normal"/>
    <w:rsid w:val="00FC51ED"/>
  </w:style>
  <w:style w:type="character" w:styleId="FollowedHyperlink">
    <w:name w:val="FollowedHyperlink"/>
    <w:basedOn w:val="DefaultParagraphFont"/>
    <w:uiPriority w:val="99"/>
    <w:semiHidden/>
    <w:unhideWhenUsed/>
    <w:rsid w:val="00FC51ED"/>
    <w:rPr>
      <w:color w:val="800080" w:themeColor="followedHyperlink"/>
      <w:u w:val="single"/>
    </w:rPr>
  </w:style>
  <w:style w:type="paragraph" w:styleId="Revision">
    <w:name w:val="Revision"/>
    <w:hidden/>
    <w:uiPriority w:val="99"/>
    <w:semiHidden/>
    <w:rsid w:val="00FC51ED"/>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helen.phillips12@nhs.net" TargetMode="External"/><Relationship Id="rId5" Type="http://schemas.openxmlformats.org/officeDocument/2006/relationships/hyperlink" Target="mailto:Amanda.Babington@royalberkshire.nhs.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380</Words>
  <Characters>2171</Characters>
  <Application>Microsoft Office Word</Application>
  <DocSecurity>0</DocSecurity>
  <Lines>18</Lines>
  <Paragraphs>5</Paragraphs>
  <ScaleCrop>false</ScaleCrop>
  <Company/>
  <LinksUpToDate>false</LinksUpToDate>
  <CharactersWithSpaces>2546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DUGGAL, Nisha (NHS FRIMLEY CCG)</dc:creator>
  <cp:keywords/>
  <dc:description/>
  <cp:lastModifiedBy>DUGGAL, Nisha (NHS FRIMLEY CCG)</cp:lastModifiedBy>
  <cp:revision>1</cp:revision>
  <dcterms:created xsi:type="dcterms:W3CDTF">2022-01-27T09:10:00Z</dcterms:created>
  <dcterms:modified xsi:type="dcterms:W3CDTF">2022-01-27T09:11:00Z</dcterms:modified>
</cp:coreProperties>
</file>