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60680D" w14:textId="77777777" w:rsidR="007C08EC" w:rsidRPr="000316A5" w:rsidRDefault="007C08EC" w:rsidP="007C08EC">
      <w:pPr>
        <w:rPr>
          <w:rFonts w:ascii="Arial" w:hAnsi="Arial" w:cs="Arial"/>
          <w:b/>
          <w:bCs/>
          <w:sz w:val="24"/>
          <w:szCs w:val="24"/>
        </w:rPr>
      </w:pPr>
      <w:r w:rsidRPr="000316A5">
        <w:rPr>
          <w:rFonts w:ascii="Arial" w:hAnsi="Arial" w:cs="Arial"/>
          <w:b/>
          <w:bCs/>
          <w:sz w:val="24"/>
          <w:szCs w:val="24"/>
        </w:rPr>
        <w:t>C19 Vaccinations: Use of PGD and National Protocol for extended expiry Comirnaty® 30microgram/dose COVID-19 mRNA vaccine</w:t>
      </w:r>
    </w:p>
    <w:p w14:paraId="47D1B869" w14:textId="77777777" w:rsidR="007C08EC" w:rsidRDefault="007C08EC" w:rsidP="007C08EC">
      <w:pPr>
        <w:rPr>
          <w:rFonts w:ascii="Arial" w:hAnsi="Arial" w:cs="Arial"/>
        </w:rPr>
      </w:pPr>
    </w:p>
    <w:p w14:paraId="353996F1" w14:textId="77777777" w:rsidR="007C08EC" w:rsidRDefault="007C08EC" w:rsidP="007C08EC">
      <w:pPr>
        <w:rPr>
          <w:rFonts w:ascii="Arial" w:hAnsi="Arial" w:cs="Arial"/>
        </w:rPr>
      </w:pPr>
    </w:p>
    <w:p w14:paraId="1DA335D9" w14:textId="539C7B78" w:rsidR="007C08EC" w:rsidRPr="000316A5" w:rsidRDefault="007C08EC" w:rsidP="007C08EC">
      <w:pPr>
        <w:rPr>
          <w:rFonts w:ascii="Arial" w:hAnsi="Arial" w:cs="Arial"/>
        </w:rPr>
      </w:pPr>
      <w:r w:rsidRPr="000316A5">
        <w:rPr>
          <w:rFonts w:ascii="Arial" w:hAnsi="Arial" w:cs="Arial"/>
        </w:rPr>
        <w:t xml:space="preserve">Vaccination sites have been advised via </w:t>
      </w:r>
      <w:hyperlink r:id="rId5" w:history="1">
        <w:r w:rsidRPr="000316A5">
          <w:rPr>
            <w:rStyle w:val="Hyperlink"/>
            <w:rFonts w:ascii="Arial" w:hAnsi="Arial" w:cs="Arial"/>
            <w:color w:val="0070C0"/>
            <w:u w:val="single"/>
          </w:rPr>
          <w:t>this letter</w:t>
        </w:r>
      </w:hyperlink>
      <w:r w:rsidRPr="000316A5">
        <w:rPr>
          <w:rFonts w:ascii="Arial" w:hAnsi="Arial" w:cs="Arial"/>
        </w:rPr>
        <w:t xml:space="preserve"> (supported by </w:t>
      </w:r>
      <w:hyperlink r:id="rId6" w:history="1">
        <w:r w:rsidRPr="000316A5">
          <w:rPr>
            <w:rStyle w:val="Hyperlink"/>
            <w:rFonts w:ascii="Arial" w:hAnsi="Arial" w:cs="Arial"/>
            <w:color w:val="0070C0"/>
            <w:u w:val="single"/>
          </w:rPr>
          <w:t>this SOP</w:t>
        </w:r>
      </w:hyperlink>
      <w:r w:rsidRPr="000316A5">
        <w:rPr>
          <w:rFonts w:ascii="Arial" w:hAnsi="Arial" w:cs="Arial"/>
        </w:rPr>
        <w:t>) to extend the post-thaw expiry date of specific batches of unpunctured, undamaged Comirnaty® 30 microgram/dose COVID-19 mRNA vaccine from 31 to 45 days.</w:t>
      </w:r>
    </w:p>
    <w:p w14:paraId="1955774A" w14:textId="77777777" w:rsidR="007C08EC" w:rsidRPr="000316A5" w:rsidRDefault="007C08EC" w:rsidP="007C08EC">
      <w:pPr>
        <w:rPr>
          <w:rFonts w:ascii="Arial" w:hAnsi="Arial" w:cs="Arial"/>
        </w:rPr>
      </w:pPr>
    </w:p>
    <w:p w14:paraId="7ECE00DC" w14:textId="77777777" w:rsidR="007C08EC" w:rsidRPr="000316A5" w:rsidRDefault="007C08EC" w:rsidP="007C08EC">
      <w:pPr>
        <w:rPr>
          <w:rFonts w:ascii="Arial" w:hAnsi="Arial" w:cs="Arial"/>
        </w:rPr>
      </w:pPr>
      <w:r w:rsidRPr="000316A5">
        <w:rPr>
          <w:rFonts w:ascii="Arial" w:hAnsi="Arial" w:cs="Arial"/>
        </w:rPr>
        <w:t>The PGD and National Protocol include the following under storage:</w:t>
      </w:r>
    </w:p>
    <w:p w14:paraId="4003F3DB" w14:textId="77777777" w:rsidR="007C08EC" w:rsidRPr="000316A5" w:rsidRDefault="007C08EC" w:rsidP="007C08EC">
      <w:pPr>
        <w:ind w:left="720"/>
        <w:rPr>
          <w:rFonts w:ascii="Arial" w:hAnsi="Arial" w:cs="Arial"/>
          <w:i/>
          <w:iCs/>
        </w:rPr>
      </w:pPr>
      <w:r w:rsidRPr="000316A5">
        <w:rPr>
          <w:rFonts w:ascii="Arial" w:hAnsi="Arial" w:cs="Arial"/>
          <w:i/>
          <w:iCs/>
        </w:rPr>
        <w:t>Thawed unopened vials have a 1-month shelf-life at 2°C to 8°C</w:t>
      </w:r>
    </w:p>
    <w:p w14:paraId="72AEDCD1" w14:textId="77777777" w:rsidR="007C08EC" w:rsidRPr="000316A5" w:rsidRDefault="007C08EC" w:rsidP="007C08EC">
      <w:pPr>
        <w:ind w:left="720"/>
        <w:rPr>
          <w:rFonts w:ascii="Arial" w:hAnsi="Arial" w:cs="Arial"/>
        </w:rPr>
      </w:pPr>
      <w:r w:rsidRPr="000316A5">
        <w:rPr>
          <w:rFonts w:ascii="Arial" w:hAnsi="Arial" w:cs="Arial"/>
          <w:i/>
          <w:iCs/>
        </w:rPr>
        <w:t xml:space="preserve">These details relate to storage requirements and available stability data at the time of product authorisation. This may be subject to amendment as more data becomes available. Refer to NHS standard operating procedures for the service and the most up to date manufacturer’s recommendations in the product’s </w:t>
      </w:r>
      <w:hyperlink r:id="rId7" w:history="1">
        <w:r w:rsidRPr="000316A5">
          <w:rPr>
            <w:rStyle w:val="Hyperlink"/>
            <w:rFonts w:ascii="Arial" w:hAnsi="Arial" w:cs="Arial"/>
            <w:i/>
            <w:iCs/>
            <w:color w:val="0070C0"/>
            <w:u w:val="single"/>
          </w:rPr>
          <w:t>SPC</w:t>
        </w:r>
      </w:hyperlink>
      <w:r w:rsidRPr="000316A5">
        <w:rPr>
          <w:rFonts w:ascii="Arial" w:hAnsi="Arial" w:cs="Arial"/>
          <w:i/>
          <w:iCs/>
        </w:rPr>
        <w:t xml:space="preserve">. The product’s </w:t>
      </w:r>
      <w:hyperlink r:id="rId8" w:history="1">
        <w:r w:rsidRPr="000316A5">
          <w:rPr>
            <w:rStyle w:val="Hyperlink"/>
            <w:rFonts w:ascii="Arial" w:hAnsi="Arial" w:cs="Arial"/>
            <w:i/>
            <w:iCs/>
            <w:color w:val="0070C0"/>
            <w:u w:val="single"/>
          </w:rPr>
          <w:t>SPC</w:t>
        </w:r>
      </w:hyperlink>
      <w:r w:rsidRPr="000316A5">
        <w:rPr>
          <w:rFonts w:ascii="Arial" w:hAnsi="Arial" w:cs="Arial"/>
          <w:i/>
          <w:iCs/>
        </w:rPr>
        <w:t xml:space="preserve"> also contains further information on stability to guide healthcare professionals only in case of temporary temperature excursion.</w:t>
      </w:r>
    </w:p>
    <w:p w14:paraId="395A29F9" w14:textId="77777777" w:rsidR="007C08EC" w:rsidRPr="000316A5" w:rsidRDefault="007C08EC" w:rsidP="007C08EC">
      <w:pPr>
        <w:rPr>
          <w:rFonts w:ascii="Arial" w:hAnsi="Arial" w:cs="Arial"/>
        </w:rPr>
      </w:pPr>
    </w:p>
    <w:p w14:paraId="53090C99" w14:textId="77777777" w:rsidR="007C08EC" w:rsidRPr="000316A5" w:rsidRDefault="007C08EC" w:rsidP="007C08EC">
      <w:pPr>
        <w:rPr>
          <w:rFonts w:ascii="Arial" w:hAnsi="Arial" w:cs="Arial"/>
        </w:rPr>
      </w:pPr>
      <w:r w:rsidRPr="000316A5">
        <w:rPr>
          <w:rFonts w:ascii="Arial" w:hAnsi="Arial" w:cs="Arial"/>
        </w:rPr>
        <w:t>The Off-label section of the PGD and National Protocol states:</w:t>
      </w:r>
    </w:p>
    <w:p w14:paraId="1D352CF0" w14:textId="77777777" w:rsidR="007C08EC" w:rsidRPr="000316A5" w:rsidRDefault="007C08EC" w:rsidP="007C08EC">
      <w:pPr>
        <w:ind w:left="720"/>
        <w:rPr>
          <w:rFonts w:ascii="Arial" w:hAnsi="Arial" w:cs="Arial"/>
          <w:i/>
          <w:iCs/>
          <w:lang w:val="en"/>
        </w:rPr>
      </w:pPr>
      <w:r w:rsidRPr="000316A5">
        <w:rPr>
          <w:rFonts w:ascii="Arial" w:hAnsi="Arial" w:cs="Arial"/>
          <w:i/>
          <w:iCs/>
          <w:lang w:val="en"/>
        </w:rPr>
        <w:t xml:space="preserve">Vaccine should be stored according to the conditions detailed in the </w:t>
      </w:r>
      <w:hyperlink r:id="rId9" w:anchor="STORAGE" w:history="1">
        <w:r w:rsidRPr="000316A5">
          <w:rPr>
            <w:rStyle w:val="Hyperlink"/>
            <w:rFonts w:ascii="Arial" w:hAnsi="Arial" w:cs="Arial"/>
            <w:i/>
            <w:iCs/>
            <w:color w:val="0070C0"/>
            <w:u w:val="single"/>
            <w:lang w:val="en"/>
          </w:rPr>
          <w:t>Storage section</w:t>
        </w:r>
      </w:hyperlink>
      <w:r w:rsidRPr="000316A5">
        <w:rPr>
          <w:rFonts w:ascii="Arial" w:hAnsi="Arial" w:cs="Arial"/>
          <w:i/>
          <w:iCs/>
          <w:lang w:val="en"/>
        </w:rPr>
        <w:t xml:space="preserve">. However, in the event of an inadvertent or unavoidable deviation of these conditions refer to </w:t>
      </w:r>
      <w:hyperlink r:id="rId10" w:history="1">
        <w:r w:rsidRPr="000316A5">
          <w:rPr>
            <w:rStyle w:val="Hyperlink"/>
            <w:rFonts w:ascii="Arial" w:hAnsi="Arial" w:cs="Arial"/>
            <w:i/>
            <w:iCs/>
            <w:color w:val="0070C0"/>
            <w:u w:val="single"/>
            <w:lang w:val="en"/>
          </w:rPr>
          <w:t>Vaccine Incident Guidance</w:t>
        </w:r>
      </w:hyperlink>
      <w:r w:rsidRPr="000316A5">
        <w:rPr>
          <w:rFonts w:ascii="Arial" w:hAnsi="Arial" w:cs="Arial"/>
          <w:i/>
          <w:iCs/>
          <w:lang w:val="en"/>
        </w:rPr>
        <w:t>. Where vaccine is assessed in accordance with these guidelines as appropriate for continued use this would constitute off-label administration under this [PGD/protocol].</w:t>
      </w:r>
    </w:p>
    <w:p w14:paraId="1C09C77C" w14:textId="77777777" w:rsidR="007C08EC" w:rsidRPr="000316A5" w:rsidRDefault="007C08EC" w:rsidP="007C08EC">
      <w:pPr>
        <w:rPr>
          <w:rFonts w:ascii="Arial" w:hAnsi="Arial" w:cs="Arial"/>
          <w:lang w:eastAsia="en-US"/>
        </w:rPr>
      </w:pPr>
    </w:p>
    <w:p w14:paraId="3E36A0C9" w14:textId="77777777" w:rsidR="007C08EC" w:rsidRPr="000316A5" w:rsidRDefault="007C08EC" w:rsidP="007C08EC">
      <w:pPr>
        <w:rPr>
          <w:rFonts w:ascii="Arial" w:hAnsi="Arial" w:cs="Arial"/>
        </w:rPr>
      </w:pPr>
      <w:r w:rsidRPr="000316A5">
        <w:rPr>
          <w:rFonts w:ascii="Arial" w:hAnsi="Arial" w:cs="Arial"/>
        </w:rPr>
        <w:t>UKHSA, DHSC and NHSEI have therefore reviewed these documents and have agreed that use of the products following formal notification of post-thaw expiry extension based on company data would be reasonable.  This use would be characterised as an off-label use but within the protocol and the PGD.</w:t>
      </w:r>
    </w:p>
    <w:p w14:paraId="50C31676" w14:textId="77777777" w:rsidR="007C08EC" w:rsidRDefault="007C08EC" w:rsidP="007C08EC">
      <w:pPr>
        <w:rPr>
          <w:rFonts w:ascii="Arial" w:hAnsi="Arial" w:cs="Arial"/>
          <w:sz w:val="24"/>
          <w:szCs w:val="24"/>
        </w:rPr>
      </w:pPr>
    </w:p>
    <w:p w14:paraId="674185BB" w14:textId="77777777" w:rsidR="007C08EC" w:rsidRPr="000316A5" w:rsidRDefault="007C08EC" w:rsidP="007C08EC">
      <w:pPr>
        <w:rPr>
          <w:rFonts w:ascii="Arial" w:hAnsi="Arial" w:cs="Arial"/>
          <w:b/>
          <w:bCs/>
          <w:i/>
          <w:iCs/>
          <w:sz w:val="24"/>
          <w:szCs w:val="24"/>
        </w:rPr>
      </w:pPr>
      <w:r w:rsidRPr="000316A5">
        <w:rPr>
          <w:rFonts w:ascii="Arial" w:hAnsi="Arial" w:cs="Arial"/>
          <w:b/>
          <w:bCs/>
          <w:i/>
          <w:iCs/>
          <w:sz w:val="24"/>
          <w:szCs w:val="24"/>
        </w:rPr>
        <w:t xml:space="preserve">Immediate actions for sites: </w:t>
      </w:r>
    </w:p>
    <w:p w14:paraId="57B4411B" w14:textId="77777777" w:rsidR="007C08EC" w:rsidRDefault="007C08EC" w:rsidP="007C08EC">
      <w:pPr>
        <w:rPr>
          <w:rFonts w:ascii="Arial" w:hAnsi="Arial" w:cs="Arial"/>
          <w:b/>
          <w:bCs/>
          <w:sz w:val="24"/>
          <w:szCs w:val="24"/>
        </w:rPr>
      </w:pPr>
    </w:p>
    <w:p w14:paraId="39329169" w14:textId="77777777" w:rsidR="007C08EC" w:rsidRPr="000316A5" w:rsidRDefault="007C08EC" w:rsidP="007C08EC">
      <w:pPr>
        <w:pStyle w:val="ListParagraph"/>
        <w:numPr>
          <w:ilvl w:val="0"/>
          <w:numId w:val="1"/>
        </w:numPr>
        <w:contextualSpacing/>
        <w:rPr>
          <w:rFonts w:ascii="Arial" w:eastAsia="Times New Roman" w:hAnsi="Arial" w:cs="Arial"/>
          <w:sz w:val="24"/>
          <w:szCs w:val="24"/>
        </w:rPr>
      </w:pPr>
      <w:r w:rsidRPr="000316A5">
        <w:rPr>
          <w:rFonts w:ascii="Arial" w:eastAsia="Times New Roman" w:hAnsi="Arial" w:cs="Arial"/>
        </w:rPr>
        <w:t>Ensure all colleagues working at the vaccination site are aware that the PGD and National Protocol for Comirnaty</w:t>
      </w:r>
      <w:r w:rsidRPr="000316A5">
        <w:rPr>
          <w:rFonts w:ascii="Arial" w:eastAsia="Times New Roman" w:hAnsi="Arial" w:cs="Arial"/>
          <w:vertAlign w:val="superscript"/>
        </w:rPr>
        <w:t>®</w:t>
      </w:r>
      <w:r w:rsidRPr="000316A5">
        <w:rPr>
          <w:rFonts w:ascii="Arial" w:eastAsia="Times New Roman" w:hAnsi="Arial" w:cs="Arial"/>
        </w:rPr>
        <w:t xml:space="preserve"> 30 microgram/dose COVID-19 mRNA vaccine can be used for administration of vaccine that has had the post-thaw expiry extended in line with the system letter of 17</w:t>
      </w:r>
      <w:r w:rsidRPr="000316A5">
        <w:rPr>
          <w:rFonts w:ascii="Arial" w:eastAsia="Times New Roman" w:hAnsi="Arial" w:cs="Arial"/>
          <w:vertAlign w:val="superscript"/>
        </w:rPr>
        <w:t>th</w:t>
      </w:r>
      <w:r w:rsidRPr="000316A5">
        <w:rPr>
          <w:rFonts w:ascii="Arial" w:eastAsia="Times New Roman" w:hAnsi="Arial" w:cs="Arial"/>
        </w:rPr>
        <w:t xml:space="preserve"> January 2022.</w:t>
      </w:r>
    </w:p>
    <w:p w14:paraId="6401327F" w14:textId="77777777" w:rsidR="007C08EC" w:rsidRPr="000316A5" w:rsidRDefault="007C08EC" w:rsidP="007C08EC">
      <w:pPr>
        <w:rPr>
          <w:rFonts w:ascii="Arial" w:hAnsi="Arial" w:cs="Arial"/>
          <w:sz w:val="24"/>
          <w:szCs w:val="24"/>
        </w:rPr>
      </w:pPr>
    </w:p>
    <w:p w14:paraId="1CFB2BAC" w14:textId="77777777" w:rsidR="007C08EC" w:rsidRPr="000316A5" w:rsidRDefault="007C08EC" w:rsidP="007C08EC">
      <w:pPr>
        <w:pStyle w:val="ListParagraph"/>
        <w:numPr>
          <w:ilvl w:val="0"/>
          <w:numId w:val="1"/>
        </w:numPr>
        <w:contextualSpacing/>
        <w:rPr>
          <w:rFonts w:ascii="Arial" w:eastAsia="Times New Roman" w:hAnsi="Arial" w:cs="Arial"/>
          <w:sz w:val="24"/>
          <w:szCs w:val="24"/>
        </w:rPr>
      </w:pPr>
      <w:r w:rsidRPr="000316A5">
        <w:rPr>
          <w:rFonts w:ascii="Arial" w:eastAsia="Times New Roman" w:hAnsi="Arial" w:cs="Arial"/>
        </w:rPr>
        <w:t>Ensure all staff know that the consequence of being able to still use the PGD and National Protocol for the extended expiry products is that all those who administer now under those legal mechanisms can continue to do so.</w:t>
      </w:r>
    </w:p>
    <w:p w14:paraId="6AC730C9" w14:textId="77777777" w:rsidR="007C08EC" w:rsidRPr="000316A5" w:rsidRDefault="007C08EC" w:rsidP="007C08EC">
      <w:pPr>
        <w:ind w:left="360"/>
        <w:rPr>
          <w:rFonts w:ascii="Arial" w:hAnsi="Arial" w:cs="Arial"/>
          <w:sz w:val="24"/>
          <w:szCs w:val="24"/>
        </w:rPr>
      </w:pPr>
    </w:p>
    <w:p w14:paraId="76A77DE9" w14:textId="77777777" w:rsidR="007C08EC" w:rsidRPr="000316A5" w:rsidRDefault="007C08EC" w:rsidP="007C08EC">
      <w:pPr>
        <w:pStyle w:val="ListParagraph"/>
        <w:numPr>
          <w:ilvl w:val="0"/>
          <w:numId w:val="1"/>
        </w:numPr>
        <w:contextualSpacing/>
        <w:rPr>
          <w:rFonts w:ascii="Arial" w:eastAsia="Times New Roman" w:hAnsi="Arial" w:cs="Arial"/>
          <w:sz w:val="24"/>
          <w:szCs w:val="24"/>
        </w:rPr>
      </w:pPr>
      <w:r w:rsidRPr="000316A5">
        <w:rPr>
          <w:rFonts w:ascii="Arial" w:eastAsia="Times New Roman" w:hAnsi="Arial" w:cs="Arial"/>
        </w:rPr>
        <w:t>Ensure all clinical staff consider the off-label use of extended expiry product when carrying out the clinical assessment and consenting process.</w:t>
      </w:r>
    </w:p>
    <w:p w14:paraId="7D0D79E9" w14:textId="77777777" w:rsidR="00E0134E" w:rsidRDefault="007C08EC"/>
    <w:sectPr w:rsidR="00E0134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53111C"/>
    <w:multiLevelType w:val="hybridMultilevel"/>
    <w:tmpl w:val="2BA828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08EC"/>
    <w:rsid w:val="00526C66"/>
    <w:rsid w:val="007C08EC"/>
    <w:rsid w:val="00802293"/>
    <w:rsid w:val="009020A3"/>
    <w:rsid w:val="00BB5E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81744"/>
  <w15:chartTrackingRefBased/>
  <w15:docId w15:val="{C69A92B1-9CA6-4239-827E-B6217B35C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08EC"/>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C08EC"/>
  </w:style>
  <w:style w:type="paragraph" w:styleId="ListParagraph">
    <w:name w:val="List Paragraph"/>
    <w:aliases w:val="Normal + indent"/>
    <w:basedOn w:val="Normal"/>
    <w:link w:val="ListParagraphChar"/>
    <w:uiPriority w:val="34"/>
    <w:qFormat/>
    <w:rsid w:val="007C08EC"/>
  </w:style>
  <w:style w:type="character" w:styleId="CommentReference">
    <w:name w:val="annotation reference"/>
    <w:basedOn w:val="DefaultParagraphFont"/>
    <w:uiPriority w:val="99"/>
    <w:semiHidden/>
    <w:unhideWhenUsed/>
    <w:rsid w:val="007C08EC"/>
    <w:rPr>
      <w:sz w:val="16"/>
      <w:szCs w:val="16"/>
    </w:rPr>
  </w:style>
  <w:style w:type="paragraph" w:styleId="CommentText">
    <w:name w:val="annotation text"/>
    <w:basedOn w:val="Normal"/>
    <w:link w:val="CommentTextChar"/>
    <w:uiPriority w:val="99"/>
    <w:semiHidden/>
    <w:unhideWhenUsed/>
    <w:rsid w:val="007C08EC"/>
    <w:rPr>
      <w:sz w:val="20"/>
      <w:szCs w:val="20"/>
    </w:rPr>
  </w:style>
  <w:style w:type="character" w:customStyle="1" w:styleId="CommentTextChar">
    <w:name w:val="Comment Text Char"/>
    <w:basedOn w:val="DefaultParagraphFont"/>
    <w:link w:val="CommentText"/>
    <w:uiPriority w:val="99"/>
    <w:semiHidden/>
    <w:rsid w:val="007C08EC"/>
    <w:rPr>
      <w:rFonts w:ascii="Calibri" w:hAnsi="Calibri" w:cs="Calibri"/>
      <w:sz w:val="20"/>
      <w:szCs w:val="20"/>
      <w:lang w:eastAsia="en-GB"/>
    </w:rPr>
  </w:style>
  <w:style w:type="character" w:customStyle="1" w:styleId="ListParagraphChar">
    <w:name w:val="List Paragraph Char"/>
    <w:aliases w:val="Normal + indent Char"/>
    <w:basedOn w:val="DefaultParagraphFont"/>
    <w:link w:val="ListParagraph"/>
    <w:uiPriority w:val="34"/>
    <w:locked/>
    <w:rsid w:val="007C08EC"/>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edicines.org.uk/emc/product/12740" TargetMode="External"/><Relationship Id="rId3" Type="http://schemas.openxmlformats.org/officeDocument/2006/relationships/settings" Target="settings.xml"/><Relationship Id="rId7" Type="http://schemas.openxmlformats.org/officeDocument/2006/relationships/hyperlink" Target="https://www.medicines.org.uk/emc/product/1274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ps.nhs.uk/articles/extending-the-post-thaw-expiry-of-comirnaty-30-microgram-dose-for-adults-and-adolescents-at-pcn-designated-sites/" TargetMode="External"/><Relationship Id="rId11" Type="http://schemas.openxmlformats.org/officeDocument/2006/relationships/fontTable" Target="fontTable.xml"/><Relationship Id="rId5" Type="http://schemas.openxmlformats.org/officeDocument/2006/relationships/hyperlink" Target="https://www.england.nhs.uk/coronavirus/wp-content/uploads/sites/52/2022/01/C1548-extending-post-thaw-expiry-date-batches-of-comirnaty-30-microgram-dose-adults-and-adolescents.pdf" TargetMode="External"/><Relationship Id="rId10" Type="http://schemas.openxmlformats.org/officeDocument/2006/relationships/hyperlink" Target="https://www.gov.uk/government/publications/vaccine-incident-guidance-responding-to-vaccine-errors" TargetMode="External"/><Relationship Id="rId4" Type="http://schemas.openxmlformats.org/officeDocument/2006/relationships/webSettings" Target="webSettings.xml"/><Relationship Id="rId9" Type="http://schemas.openxmlformats.org/officeDocument/2006/relationships/hyperlink" Target="https://www.medicines.org.uk/emc/product/127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454</Words>
  <Characters>2594</Characters>
  <Application>Microsoft Office Word</Application>
  <DocSecurity>0</DocSecurity>
  <Lines>21</Lines>
  <Paragraphs>6</Paragraphs>
  <ScaleCrop>false</ScaleCrop>
  <Company/>
  <LinksUpToDate>false</LinksUpToDate>
  <CharactersWithSpaces>3042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DUGGAL, Nisha (NHS FRIMLEY CCG)</dc:creator>
  <cp:keywords/>
  <dc:description/>
  <cp:lastModifiedBy>DUGGAL, Nisha (NHS FRIMLEY CCG)</cp:lastModifiedBy>
  <cp:revision>1</cp:revision>
  <dcterms:created xsi:type="dcterms:W3CDTF">2022-01-27T09:03:00Z</dcterms:created>
  <dcterms:modified xsi:type="dcterms:W3CDTF">2022-01-27T09:04:00Z</dcterms:modified>
</cp:coreProperties>
</file>