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717CC" w14:textId="77777777" w:rsidR="00432912" w:rsidRDefault="00432912" w:rsidP="00432912">
      <w:pPr>
        <w:pStyle w:val="wordsection1"/>
        <w:spacing w:before="0" w:beforeAutospacing="0" w:after="0" w:afterAutospacing="0"/>
        <w:ind w:right="187"/>
        <w:rPr>
          <w:rFonts w:ascii="Arial" w:hAnsi="Arial" w:cs="Arial"/>
          <w:b/>
          <w:bCs/>
          <w:color w:val="000000"/>
          <w:sz w:val="24"/>
          <w:szCs w:val="24"/>
        </w:rPr>
      </w:pPr>
      <w:r>
        <w:rPr>
          <w:rFonts w:ascii="Arial" w:hAnsi="Arial" w:cs="Arial"/>
          <w:b/>
          <w:bCs/>
          <w:color w:val="000000"/>
          <w:sz w:val="24"/>
          <w:szCs w:val="24"/>
        </w:rPr>
        <w:t>Simplifying evidence of eligibility of vaccinations for patients who are immunosuppressed and severely immunosuppressed</w:t>
      </w:r>
    </w:p>
    <w:p w14:paraId="4E88AFA5" w14:textId="77777777" w:rsidR="00432912" w:rsidRDefault="00432912" w:rsidP="00432912">
      <w:pPr>
        <w:pStyle w:val="wordsection1"/>
        <w:spacing w:before="0" w:beforeAutospacing="0" w:after="0" w:afterAutospacing="0"/>
        <w:ind w:right="187"/>
        <w:rPr>
          <w:rFonts w:ascii="Arial" w:hAnsi="Arial" w:cs="Arial"/>
          <w:b/>
          <w:bCs/>
          <w:color w:val="000000"/>
        </w:rPr>
      </w:pPr>
    </w:p>
    <w:p w14:paraId="6CC7322B" w14:textId="77777777" w:rsidR="00432912" w:rsidRDefault="00432912" w:rsidP="00432912">
      <w:pPr>
        <w:pStyle w:val="wordsection1"/>
        <w:spacing w:before="0" w:beforeAutospacing="0" w:after="0" w:afterAutospacing="0"/>
        <w:ind w:right="187"/>
        <w:rPr>
          <w:rFonts w:ascii="Arial" w:hAnsi="Arial" w:cs="Arial"/>
          <w:color w:val="000000"/>
        </w:rPr>
      </w:pPr>
      <w:r>
        <w:rPr>
          <w:rFonts w:ascii="Arial" w:hAnsi="Arial" w:cs="Arial"/>
          <w:color w:val="000000"/>
        </w:rPr>
        <w:t xml:space="preserve">Thank you for all your help in assisting people who are severely immunosuppressed or immunosuppressed to receive their Covid-19 vaccinations. We are writing to update you on the steps we are taking to help simplify how patients in these groups can show their eligibility for vaccinations. </w:t>
      </w:r>
    </w:p>
    <w:p w14:paraId="30DC84AC" w14:textId="77777777" w:rsidR="00432912" w:rsidRDefault="00432912" w:rsidP="00432912">
      <w:pPr>
        <w:pStyle w:val="wordsection1"/>
        <w:spacing w:before="0" w:beforeAutospacing="0" w:after="0" w:afterAutospacing="0"/>
        <w:ind w:right="187"/>
        <w:rPr>
          <w:rFonts w:ascii="Arial" w:hAnsi="Arial" w:cs="Arial"/>
          <w:b/>
          <w:bCs/>
          <w:color w:val="000000"/>
        </w:rPr>
      </w:pPr>
    </w:p>
    <w:p w14:paraId="16DA8770" w14:textId="77777777" w:rsidR="00432912" w:rsidRDefault="00432912" w:rsidP="00432912">
      <w:pPr>
        <w:pStyle w:val="wordsection1"/>
        <w:spacing w:before="0" w:beforeAutospacing="0" w:after="0" w:afterAutospacing="0"/>
        <w:ind w:right="187"/>
        <w:rPr>
          <w:rFonts w:ascii="Arial" w:hAnsi="Arial" w:cs="Arial"/>
          <w:b/>
          <w:bCs/>
          <w:color w:val="000000"/>
          <w:lang w:eastAsia="en-US"/>
        </w:rPr>
      </w:pPr>
      <w:r>
        <w:rPr>
          <w:rFonts w:ascii="Arial" w:hAnsi="Arial" w:cs="Arial"/>
          <w:b/>
          <w:bCs/>
          <w:color w:val="000000"/>
        </w:rPr>
        <w:t>Recap on clinical advice for Covid-19 vaccinations for those who are immunosuppressed:</w:t>
      </w:r>
    </w:p>
    <w:p w14:paraId="588A9C11" w14:textId="77777777" w:rsidR="00432912" w:rsidRDefault="00432912" w:rsidP="00432912">
      <w:pPr>
        <w:pStyle w:val="wordsection1"/>
        <w:spacing w:before="0" w:beforeAutospacing="0" w:after="0" w:afterAutospacing="0"/>
        <w:ind w:right="187"/>
        <w:rPr>
          <w:rFonts w:ascii="Arial" w:hAnsi="Arial" w:cs="Arial"/>
          <w:b/>
          <w:bCs/>
          <w:color w:val="000000"/>
          <w:lang w:eastAsia="en-US"/>
        </w:rPr>
      </w:pPr>
    </w:p>
    <w:p w14:paraId="589223D9" w14:textId="77777777" w:rsidR="00432912" w:rsidRDefault="00432912" w:rsidP="00432912">
      <w:pPr>
        <w:pStyle w:val="wordsection1"/>
        <w:numPr>
          <w:ilvl w:val="0"/>
          <w:numId w:val="1"/>
        </w:numPr>
        <w:spacing w:before="0" w:beforeAutospacing="0" w:after="160" w:afterAutospacing="0"/>
        <w:ind w:right="187"/>
        <w:rPr>
          <w:rFonts w:ascii="Arial" w:eastAsia="Times New Roman" w:hAnsi="Arial" w:cs="Arial"/>
          <w:color w:val="000000"/>
          <w:lang w:eastAsia="en-US"/>
        </w:rPr>
      </w:pPr>
      <w:r>
        <w:rPr>
          <w:rFonts w:ascii="Arial" w:eastAsia="Times New Roman" w:hAnsi="Arial" w:cs="Arial"/>
          <w:color w:val="000000"/>
        </w:rPr>
        <w:t xml:space="preserve">The Joint Committee on Vaccination and Immunisation (JCVI) advise that people who were </w:t>
      </w:r>
      <w:r>
        <w:rPr>
          <w:rFonts w:ascii="Arial" w:eastAsia="Times New Roman" w:hAnsi="Arial" w:cs="Arial"/>
          <w:b/>
          <w:bCs/>
          <w:color w:val="000000"/>
          <w:u w:val="single"/>
        </w:rPr>
        <w:t>severely immunosuppressed</w:t>
      </w:r>
      <w:r>
        <w:rPr>
          <w:rFonts w:ascii="Arial" w:eastAsia="Times New Roman" w:hAnsi="Arial" w:cs="Arial"/>
          <w:color w:val="000000"/>
        </w:rPr>
        <w:t xml:space="preserve"> either </w:t>
      </w:r>
      <w:proofErr w:type="gramStart"/>
      <w:r>
        <w:rPr>
          <w:rFonts w:ascii="Arial" w:eastAsia="Times New Roman" w:hAnsi="Arial" w:cs="Arial"/>
          <w:color w:val="000000"/>
        </w:rPr>
        <w:t>as a result of</w:t>
      </w:r>
      <w:proofErr w:type="gramEnd"/>
      <w:r>
        <w:rPr>
          <w:rFonts w:ascii="Arial" w:eastAsia="Times New Roman" w:hAnsi="Arial" w:cs="Arial"/>
          <w:color w:val="000000"/>
        </w:rPr>
        <w:t xml:space="preserve"> their disease or therapy at the time of their 1</w:t>
      </w:r>
      <w:r>
        <w:rPr>
          <w:rFonts w:ascii="Arial" w:eastAsia="Times New Roman" w:hAnsi="Arial" w:cs="Arial"/>
          <w:color w:val="000000"/>
          <w:vertAlign w:val="superscript"/>
        </w:rPr>
        <w:t>st</w:t>
      </w:r>
      <w:r>
        <w:rPr>
          <w:rFonts w:ascii="Arial" w:eastAsia="Times New Roman" w:hAnsi="Arial" w:cs="Arial"/>
          <w:color w:val="000000"/>
        </w:rPr>
        <w:t xml:space="preserve"> or 2</w:t>
      </w:r>
      <w:r>
        <w:rPr>
          <w:rFonts w:ascii="Arial" w:eastAsia="Times New Roman" w:hAnsi="Arial" w:cs="Arial"/>
          <w:color w:val="000000"/>
          <w:vertAlign w:val="superscript"/>
        </w:rPr>
        <w:t>nd</w:t>
      </w:r>
      <w:r>
        <w:rPr>
          <w:rFonts w:ascii="Arial" w:eastAsia="Times New Roman" w:hAnsi="Arial" w:cs="Arial"/>
          <w:color w:val="000000"/>
        </w:rPr>
        <w:t xml:space="preserve"> dose, should receive a third dose as part of their primary course and a subsequent booster dose after a further 3 months.</w:t>
      </w:r>
    </w:p>
    <w:p w14:paraId="79761658" w14:textId="77777777" w:rsidR="00432912" w:rsidRDefault="00432912" w:rsidP="00432912">
      <w:pPr>
        <w:pStyle w:val="paragraph"/>
        <w:numPr>
          <w:ilvl w:val="0"/>
          <w:numId w:val="1"/>
        </w:numPr>
        <w:spacing w:before="0" w:beforeAutospacing="0" w:after="0" w:afterAutospacing="0"/>
        <w:ind w:right="187"/>
        <w:jc w:val="both"/>
        <w:textAlignment w:val="baseline"/>
        <w:rPr>
          <w:rFonts w:ascii="Arial" w:eastAsia="Times New Roman" w:hAnsi="Arial" w:cs="Arial"/>
          <w:color w:val="000000"/>
        </w:rPr>
      </w:pPr>
      <w:r>
        <w:rPr>
          <w:rStyle w:val="normaltextrun"/>
          <w:rFonts w:ascii="Arial" w:eastAsia="Times New Roman" w:hAnsi="Arial" w:cs="Arial"/>
          <w:color w:val="000000"/>
          <w:position w:val="1"/>
        </w:rPr>
        <w:t>More recently, JCVI have advised that people who are immunosuppressed, which a</w:t>
      </w:r>
      <w:r>
        <w:rPr>
          <w:rStyle w:val="normaltextrun"/>
          <w:rFonts w:ascii="Arial" w:eastAsia="Times New Roman" w:hAnsi="Arial" w:cs="Arial"/>
          <w:position w:val="1"/>
        </w:rPr>
        <w:t xml:space="preserve">lso </w:t>
      </w:r>
      <w:r>
        <w:rPr>
          <w:rStyle w:val="normaltextrun"/>
          <w:rFonts w:ascii="Arial" w:eastAsia="Times New Roman" w:hAnsi="Arial" w:cs="Arial"/>
          <w:color w:val="000000"/>
          <w:position w:val="1"/>
        </w:rPr>
        <w:t>includes the severely immunosuppressed as defined in Table 3 and 4 of </w:t>
      </w:r>
      <w:hyperlink r:id="rId5" w:tgtFrame="_blank" w:history="1">
        <w:r>
          <w:rPr>
            <w:rStyle w:val="normaltextrun"/>
            <w:rFonts w:ascii="Arial" w:eastAsia="Times New Roman" w:hAnsi="Arial" w:cs="Arial"/>
            <w:color w:val="000000"/>
            <w:position w:val="1"/>
            <w:u w:val="single"/>
          </w:rPr>
          <w:t>the Green Book Chapter 14a</w:t>
        </w:r>
      </w:hyperlink>
      <w:r>
        <w:rPr>
          <w:rStyle w:val="normaltextrun"/>
          <w:rFonts w:ascii="Arial" w:eastAsia="Times New Roman" w:hAnsi="Arial" w:cs="Arial"/>
          <w:color w:val="000000"/>
          <w:position w:val="1"/>
          <w:lang w:val="en-US"/>
        </w:rPr>
        <w:t xml:space="preserve">, should also receive </w:t>
      </w:r>
      <w:r>
        <w:rPr>
          <w:rStyle w:val="normaltextrun"/>
          <w:rFonts w:ascii="Arial" w:eastAsia="Times New Roman" w:hAnsi="Arial" w:cs="Arial"/>
          <w:color w:val="000000"/>
          <w:position w:val="1"/>
        </w:rPr>
        <w:t xml:space="preserve">a Spring booster. </w:t>
      </w:r>
    </w:p>
    <w:p w14:paraId="424417FE" w14:textId="77777777" w:rsidR="00432912" w:rsidRDefault="00432912" w:rsidP="00432912">
      <w:pPr>
        <w:pStyle w:val="wordsection1"/>
        <w:keepNext/>
        <w:spacing w:before="40" w:beforeAutospacing="0" w:after="0" w:afterAutospacing="0" w:line="252" w:lineRule="auto"/>
        <w:ind w:right="187"/>
        <w:rPr>
          <w:rFonts w:ascii="Arial" w:hAnsi="Arial" w:cs="Arial"/>
          <w:b/>
          <w:bCs/>
          <w:lang w:eastAsia="en-US"/>
        </w:rPr>
      </w:pPr>
    </w:p>
    <w:p w14:paraId="49594603" w14:textId="77777777" w:rsidR="00432912" w:rsidRDefault="00432912" w:rsidP="00432912">
      <w:pPr>
        <w:pStyle w:val="wordsection1"/>
        <w:spacing w:before="0" w:beforeAutospacing="0" w:after="0" w:afterAutospacing="0"/>
        <w:ind w:right="187"/>
        <w:rPr>
          <w:rFonts w:ascii="Arial" w:hAnsi="Arial" w:cs="Arial"/>
          <w:b/>
          <w:bCs/>
          <w:lang w:eastAsia="en-US"/>
        </w:rPr>
      </w:pPr>
      <w:r>
        <w:rPr>
          <w:rFonts w:ascii="Arial" w:hAnsi="Arial" w:cs="Arial"/>
          <w:b/>
          <w:bCs/>
        </w:rPr>
        <w:t>Evidence to show eligibility:</w:t>
      </w:r>
    </w:p>
    <w:p w14:paraId="00DFB9A9" w14:textId="77777777" w:rsidR="00432912" w:rsidRDefault="00432912" w:rsidP="00432912">
      <w:pPr>
        <w:pStyle w:val="wordsection1"/>
        <w:spacing w:before="0" w:beforeAutospacing="0" w:after="0" w:afterAutospacing="0"/>
        <w:ind w:right="187"/>
        <w:rPr>
          <w:rFonts w:ascii="Arial" w:hAnsi="Arial" w:cs="Arial"/>
          <w:b/>
          <w:bCs/>
          <w:color w:val="333333"/>
          <w:lang w:eastAsia="en-US"/>
        </w:rPr>
      </w:pPr>
    </w:p>
    <w:p w14:paraId="21E23055" w14:textId="77777777" w:rsidR="00432912" w:rsidRDefault="00432912" w:rsidP="00432912">
      <w:pPr>
        <w:pStyle w:val="wordsection1"/>
        <w:spacing w:before="0" w:beforeAutospacing="0" w:after="0" w:afterAutospacing="0"/>
        <w:ind w:right="187"/>
        <w:rPr>
          <w:rFonts w:ascii="Arial" w:hAnsi="Arial" w:cs="Arial"/>
          <w:lang w:eastAsia="en-US"/>
        </w:rPr>
      </w:pPr>
      <w:r>
        <w:rPr>
          <w:rFonts w:ascii="Arial" w:hAnsi="Arial" w:cs="Arial"/>
        </w:rPr>
        <w:t>From 21 March, information for the public will be updated to help simplify the evidence for those who are immunosuppressed to show their eligibility when they arrive for their appointment:</w:t>
      </w:r>
    </w:p>
    <w:p w14:paraId="7D64FF99" w14:textId="77777777" w:rsidR="00432912" w:rsidRDefault="00432912" w:rsidP="00432912">
      <w:pPr>
        <w:pStyle w:val="wordsection1"/>
        <w:numPr>
          <w:ilvl w:val="0"/>
          <w:numId w:val="2"/>
        </w:numPr>
        <w:spacing w:beforeAutospacing="0" w:afterAutospacing="0" w:line="252" w:lineRule="auto"/>
        <w:ind w:right="187"/>
        <w:contextualSpacing/>
        <w:rPr>
          <w:rFonts w:ascii="Arial" w:eastAsia="Times New Roman" w:hAnsi="Arial" w:cs="Arial"/>
          <w:b/>
          <w:bCs/>
          <w:color w:val="333333"/>
          <w:lang w:eastAsia="en-US"/>
        </w:rPr>
      </w:pPr>
      <w:r>
        <w:rPr>
          <w:rFonts w:ascii="Arial" w:eastAsia="Times New Roman" w:hAnsi="Arial" w:cs="Arial"/>
        </w:rPr>
        <w:t>a specific communication from the GP or specialist stating their eligibility; or</w:t>
      </w:r>
    </w:p>
    <w:p w14:paraId="26AE8A4E" w14:textId="77777777" w:rsidR="00432912" w:rsidRDefault="00432912" w:rsidP="00432912">
      <w:pPr>
        <w:pStyle w:val="wordsection1"/>
        <w:numPr>
          <w:ilvl w:val="0"/>
          <w:numId w:val="3"/>
        </w:numPr>
        <w:spacing w:beforeAutospacing="0" w:afterAutospacing="0" w:line="252" w:lineRule="auto"/>
        <w:ind w:right="187"/>
        <w:contextualSpacing/>
        <w:rPr>
          <w:rFonts w:ascii="Arial" w:eastAsia="Times New Roman" w:hAnsi="Arial" w:cs="Arial"/>
          <w:b/>
          <w:bCs/>
          <w:color w:val="333333"/>
          <w:lang w:eastAsia="en-US"/>
        </w:rPr>
      </w:pPr>
      <w:r>
        <w:rPr>
          <w:rFonts w:ascii="Arial" w:eastAsia="Times New Roman" w:hAnsi="Arial" w:cs="Arial"/>
        </w:rPr>
        <w:t xml:space="preserve">other forms of evidence to confirm their condition or medication including a hospital letter that describes the condition or the immunosuppressive medication that’s been prescribed, a copy of a prescription, or a medication box with a patient’s name and a date on it </w:t>
      </w:r>
    </w:p>
    <w:p w14:paraId="10FC9BFE" w14:textId="77777777" w:rsidR="00432912" w:rsidRDefault="00432912" w:rsidP="00432912">
      <w:pPr>
        <w:pStyle w:val="wordsection1"/>
        <w:spacing w:before="0" w:beforeAutospacing="0" w:after="0" w:afterAutospacing="0"/>
        <w:ind w:right="187"/>
        <w:rPr>
          <w:rFonts w:ascii="Arial" w:hAnsi="Arial" w:cs="Arial"/>
          <w:b/>
          <w:bCs/>
          <w:color w:val="333333"/>
          <w:lang w:eastAsia="en-US"/>
        </w:rPr>
      </w:pPr>
    </w:p>
    <w:p w14:paraId="45F927F4" w14:textId="77777777" w:rsidR="00432912" w:rsidRDefault="00432912" w:rsidP="00432912">
      <w:pPr>
        <w:pStyle w:val="wordsection1"/>
        <w:spacing w:before="0" w:beforeAutospacing="0" w:after="0" w:afterAutospacing="0"/>
        <w:ind w:right="187"/>
        <w:rPr>
          <w:rFonts w:ascii="Arial" w:hAnsi="Arial" w:cs="Arial"/>
          <w:b/>
          <w:bCs/>
          <w:lang w:eastAsia="en-US"/>
        </w:rPr>
      </w:pPr>
      <w:r>
        <w:rPr>
          <w:rFonts w:ascii="Arial" w:hAnsi="Arial" w:cs="Arial"/>
          <w:b/>
          <w:bCs/>
        </w:rPr>
        <w:t>Supporting those without appropriate evidence:</w:t>
      </w:r>
    </w:p>
    <w:p w14:paraId="027E9CD4" w14:textId="77777777" w:rsidR="00432912" w:rsidRDefault="00432912" w:rsidP="00432912">
      <w:pPr>
        <w:pStyle w:val="wordsection1"/>
        <w:spacing w:before="0" w:beforeAutospacing="0" w:after="0" w:afterAutospacing="0"/>
        <w:ind w:right="187"/>
        <w:rPr>
          <w:rFonts w:ascii="Arial" w:hAnsi="Arial" w:cs="Arial"/>
          <w:lang w:eastAsia="en-US"/>
        </w:rPr>
      </w:pPr>
      <w:r>
        <w:rPr>
          <w:rFonts w:ascii="Arial" w:hAnsi="Arial" w:cs="Arial"/>
        </w:rPr>
        <w:t xml:space="preserve">If the person attending their vaccination appointment is not able to provide suitable evidence to confirm their condition, a conversation with an appropriate clinician may be sufficient to confirm that the individual is eligible. </w:t>
      </w:r>
    </w:p>
    <w:p w14:paraId="4E5314AE" w14:textId="77777777" w:rsidR="00432912" w:rsidRDefault="00432912" w:rsidP="00432912">
      <w:pPr>
        <w:pStyle w:val="wordsection1"/>
        <w:spacing w:before="0" w:beforeAutospacing="0" w:after="0" w:afterAutospacing="0"/>
        <w:ind w:right="187"/>
        <w:rPr>
          <w:rFonts w:ascii="Arial" w:hAnsi="Arial" w:cs="Arial"/>
          <w:lang w:eastAsia="en-US"/>
        </w:rPr>
      </w:pPr>
    </w:p>
    <w:p w14:paraId="644D42BC" w14:textId="77777777" w:rsidR="00432912" w:rsidRDefault="00432912" w:rsidP="00432912">
      <w:pPr>
        <w:pStyle w:val="wordsection1"/>
        <w:spacing w:before="0" w:beforeAutospacing="0" w:after="0" w:afterAutospacing="0"/>
        <w:ind w:right="187"/>
        <w:rPr>
          <w:rFonts w:ascii="Arial" w:hAnsi="Arial" w:cs="Arial"/>
          <w:highlight w:val="yellow"/>
          <w:lang w:val="en-US" w:eastAsia="en-US"/>
        </w:rPr>
      </w:pPr>
      <w:r>
        <w:rPr>
          <w:rFonts w:ascii="Arial" w:hAnsi="Arial" w:cs="Arial"/>
        </w:rPr>
        <w:t xml:space="preserve">An appropriate clinician would include healthcare professionals who are familiar with medicines and treatments that cause immunosuppression and are able to understand a patient’s medical history. If a clinical conversation is not possible, or it is not possible to confirm eligibility </w:t>
      </w:r>
      <w:r>
        <w:rPr>
          <w:rFonts w:ascii="Arial" w:hAnsi="Arial" w:cs="Arial"/>
          <w:lang w:val="en-US"/>
        </w:rPr>
        <w:t>please advise the individual to contact their GP or specialist to confirm whether they are eligible for additional boosters (</w:t>
      </w:r>
      <w:hyperlink r:id="rId6" w:history="1">
        <w:r>
          <w:rPr>
            <w:rStyle w:val="Hyperlink"/>
            <w:rFonts w:ascii="Arial" w:hAnsi="Arial" w:cs="Arial"/>
            <w:lang w:val="en-US"/>
          </w:rPr>
          <w:t>Template letter</w:t>
        </w:r>
      </w:hyperlink>
      <w:r>
        <w:rPr>
          <w:rFonts w:ascii="Arial" w:hAnsi="Arial" w:cs="Arial"/>
        </w:rPr>
        <w:t xml:space="preserve"> </w:t>
      </w:r>
      <w:r>
        <w:rPr>
          <w:rFonts w:ascii="Arial" w:hAnsi="Arial" w:cs="Arial"/>
          <w:lang w:val="en-US"/>
        </w:rPr>
        <w:t>– in the event unable to vaccinate). As far as possible the approach taken should be to vaccinate, as the risk of an additional but unnecessary dose is low risk compared to leaving an immunosuppressed person under-vaccinated.</w:t>
      </w:r>
    </w:p>
    <w:p w14:paraId="030609E1" w14:textId="77777777" w:rsidR="00432912" w:rsidRDefault="00432912" w:rsidP="00432912">
      <w:pPr>
        <w:pStyle w:val="wordsection1"/>
        <w:spacing w:before="0" w:beforeAutospacing="0" w:after="0" w:afterAutospacing="0"/>
        <w:ind w:right="187"/>
        <w:rPr>
          <w:rFonts w:ascii="Arial" w:hAnsi="Arial" w:cs="Arial"/>
          <w:lang w:eastAsia="en-US"/>
        </w:rPr>
      </w:pPr>
    </w:p>
    <w:p w14:paraId="19B5BF94" w14:textId="77777777" w:rsidR="00432912" w:rsidRDefault="00432912" w:rsidP="00432912">
      <w:pPr>
        <w:pStyle w:val="wordsection1"/>
        <w:keepNext/>
        <w:spacing w:before="40" w:beforeAutospacing="0" w:after="0" w:afterAutospacing="0" w:line="252" w:lineRule="auto"/>
        <w:ind w:right="187"/>
        <w:rPr>
          <w:rFonts w:ascii="Arial" w:hAnsi="Arial" w:cs="Arial"/>
          <w:b/>
          <w:bCs/>
          <w:color w:val="000000"/>
          <w:lang w:eastAsia="en-US"/>
        </w:rPr>
      </w:pPr>
      <w:r>
        <w:rPr>
          <w:rFonts w:ascii="Arial" w:hAnsi="Arial" w:cs="Arial"/>
          <w:b/>
          <w:bCs/>
          <w:color w:val="000000"/>
        </w:rPr>
        <w:t>Recording patient assessment</w:t>
      </w:r>
    </w:p>
    <w:p w14:paraId="6C834524" w14:textId="77777777" w:rsidR="00432912" w:rsidRDefault="00432912" w:rsidP="00432912">
      <w:pPr>
        <w:pStyle w:val="wordsection1"/>
        <w:spacing w:before="0" w:beforeAutospacing="0" w:after="0" w:afterAutospacing="0"/>
        <w:ind w:right="187"/>
        <w:rPr>
          <w:rFonts w:ascii="Arial" w:hAnsi="Arial" w:cs="Arial"/>
          <w:lang w:eastAsia="en-US"/>
        </w:rPr>
      </w:pPr>
      <w:r>
        <w:rPr>
          <w:rFonts w:ascii="Arial" w:hAnsi="Arial" w:cs="Arial"/>
        </w:rPr>
        <w:t>The process for recording any patient assessment should be determined locally but could be within the notes section of the vaccination record or in the GP clinical system if GP records are available.</w:t>
      </w:r>
    </w:p>
    <w:p w14:paraId="030065A7" w14:textId="77777777" w:rsidR="00432912" w:rsidRDefault="00432912" w:rsidP="00432912">
      <w:pPr>
        <w:pStyle w:val="wordsection1"/>
        <w:spacing w:before="0" w:beforeAutospacing="0" w:after="0" w:afterAutospacing="0"/>
        <w:ind w:right="187"/>
        <w:rPr>
          <w:rFonts w:ascii="Arial" w:hAnsi="Arial" w:cs="Arial"/>
          <w:lang w:eastAsia="en-US"/>
        </w:rPr>
      </w:pPr>
    </w:p>
    <w:p w14:paraId="4148569D" w14:textId="77777777" w:rsidR="00432912" w:rsidRDefault="00432912" w:rsidP="00432912">
      <w:pPr>
        <w:pStyle w:val="wordsection1"/>
        <w:spacing w:before="0" w:beforeAutospacing="0" w:after="0" w:afterAutospacing="0"/>
        <w:ind w:right="187"/>
        <w:rPr>
          <w:rFonts w:ascii="Arial" w:hAnsi="Arial" w:cs="Arial"/>
          <w:lang w:eastAsia="en-US"/>
        </w:rPr>
      </w:pPr>
      <w:r>
        <w:rPr>
          <w:rFonts w:ascii="Arial" w:hAnsi="Arial" w:cs="Arial"/>
        </w:rPr>
        <w:t xml:space="preserve">Paper records would only be acceptable as a business continuity solution. If a </w:t>
      </w:r>
      <w:r>
        <w:rPr>
          <w:rFonts w:ascii="Arial" w:hAnsi="Arial" w:cs="Arial"/>
          <w:lang w:val="en-US"/>
        </w:rPr>
        <w:t xml:space="preserve">decision </w:t>
      </w:r>
      <w:r>
        <w:rPr>
          <w:rFonts w:ascii="Arial" w:hAnsi="Arial" w:cs="Arial"/>
          <w:b/>
          <w:bCs/>
          <w:lang w:val="en-US"/>
        </w:rPr>
        <w:t>not to</w:t>
      </w:r>
      <w:r>
        <w:rPr>
          <w:rFonts w:ascii="Arial" w:hAnsi="Arial" w:cs="Arial"/>
          <w:lang w:val="en-US"/>
        </w:rPr>
        <w:t xml:space="preserve"> provide a third primary dose or a booster dose, this should also be recorded in the Point of Care (PoC) System.  </w:t>
      </w:r>
    </w:p>
    <w:p w14:paraId="0F2F9F8E" w14:textId="77777777" w:rsidR="00432912" w:rsidRDefault="00432912" w:rsidP="00432912">
      <w:pPr>
        <w:pStyle w:val="wordsection1"/>
        <w:spacing w:before="0" w:beforeAutospacing="0" w:after="0" w:afterAutospacing="0"/>
        <w:ind w:right="187"/>
        <w:rPr>
          <w:rFonts w:ascii="Arial" w:hAnsi="Arial" w:cs="Arial"/>
          <w:b/>
          <w:bCs/>
          <w:color w:val="333333"/>
          <w:lang w:eastAsia="en-US"/>
        </w:rPr>
      </w:pPr>
    </w:p>
    <w:p w14:paraId="3108BEE3" w14:textId="77777777" w:rsidR="00432912" w:rsidRDefault="00432912" w:rsidP="00432912">
      <w:pPr>
        <w:pStyle w:val="wordsection1"/>
        <w:spacing w:before="0" w:beforeAutospacing="0" w:after="0" w:afterAutospacing="0"/>
        <w:ind w:right="187"/>
        <w:rPr>
          <w:rFonts w:ascii="Arial" w:hAnsi="Arial" w:cs="Arial"/>
          <w:b/>
          <w:bCs/>
          <w:color w:val="333333"/>
          <w:lang w:eastAsia="en-US"/>
        </w:rPr>
      </w:pPr>
    </w:p>
    <w:p w14:paraId="378FDC10" w14:textId="77777777" w:rsidR="00432912" w:rsidRDefault="00432912" w:rsidP="00432912">
      <w:pPr>
        <w:pStyle w:val="wordsection1"/>
        <w:spacing w:before="0" w:beforeAutospacing="0" w:after="120" w:afterAutospacing="0"/>
        <w:ind w:right="187"/>
        <w:rPr>
          <w:rFonts w:ascii="Arial" w:hAnsi="Arial" w:cs="Arial"/>
          <w:b/>
          <w:bCs/>
          <w:color w:val="000000"/>
          <w:lang w:eastAsia="en-US"/>
        </w:rPr>
      </w:pPr>
      <w:r>
        <w:rPr>
          <w:rFonts w:ascii="Arial" w:hAnsi="Arial" w:cs="Arial"/>
          <w:b/>
          <w:bCs/>
          <w:color w:val="000000"/>
        </w:rPr>
        <w:t>IMMEDIATE ACTIONS FOR VACCINATION SITES</w:t>
      </w:r>
    </w:p>
    <w:p w14:paraId="24FA243C" w14:textId="77777777" w:rsidR="00432912" w:rsidRDefault="00432912" w:rsidP="00432912">
      <w:pPr>
        <w:pStyle w:val="wordsection1"/>
        <w:spacing w:before="0" w:beforeAutospacing="0" w:after="120" w:afterAutospacing="0"/>
        <w:ind w:right="187"/>
        <w:rPr>
          <w:rFonts w:ascii="Arial" w:hAnsi="Arial" w:cs="Arial"/>
          <w:b/>
          <w:bCs/>
          <w:color w:val="000000"/>
          <w:u w:val="single"/>
          <w:lang w:eastAsia="en-US"/>
        </w:rPr>
      </w:pPr>
      <w:r>
        <w:rPr>
          <w:rFonts w:ascii="Arial" w:hAnsi="Arial" w:cs="Arial"/>
          <w:b/>
          <w:bCs/>
          <w:color w:val="000000"/>
          <w:u w:val="single"/>
        </w:rPr>
        <w:t>Sites should ensure that staff at the vaccination site are advised of these updates:</w:t>
      </w:r>
    </w:p>
    <w:p w14:paraId="2B4CE425" w14:textId="77777777" w:rsidR="00432912" w:rsidRDefault="00432912" w:rsidP="00432912">
      <w:pPr>
        <w:pStyle w:val="wordsection1"/>
        <w:numPr>
          <w:ilvl w:val="0"/>
          <w:numId w:val="4"/>
        </w:numPr>
        <w:spacing w:before="0" w:beforeAutospacing="0" w:after="120" w:afterAutospacing="0" w:line="252" w:lineRule="auto"/>
        <w:ind w:right="187"/>
        <w:rPr>
          <w:rFonts w:ascii="Arial" w:eastAsia="Times New Roman" w:hAnsi="Arial" w:cs="Arial"/>
          <w:lang w:eastAsia="en-US"/>
        </w:rPr>
      </w:pPr>
      <w:bookmarkStart w:id="0" w:name="_Hlk90314597"/>
      <w:r>
        <w:rPr>
          <w:rFonts w:ascii="Arial" w:eastAsia="Times New Roman" w:hAnsi="Arial" w:cs="Arial"/>
        </w:rPr>
        <w:t xml:space="preserve">To ensure no-one is refused access to a vaccination that they are eligible for, please make sure all staff are informed about the updated guidance on how immunosuppressed patient’s show their eligibility and timings as described above and in the updated </w:t>
      </w:r>
      <w:hyperlink r:id="rId7" w:history="1">
        <w:r>
          <w:rPr>
            <w:rStyle w:val="Hyperlink"/>
            <w:rFonts w:ascii="Arial" w:eastAsia="Times New Roman" w:hAnsi="Arial" w:cs="Arial"/>
          </w:rPr>
          <w:t>Clinical Assessment Framework.</w:t>
        </w:r>
      </w:hyperlink>
    </w:p>
    <w:p w14:paraId="3FD92AD2" w14:textId="77777777" w:rsidR="00432912" w:rsidRDefault="00432912" w:rsidP="00432912">
      <w:pPr>
        <w:pStyle w:val="wordsection1"/>
        <w:numPr>
          <w:ilvl w:val="0"/>
          <w:numId w:val="4"/>
        </w:numPr>
        <w:spacing w:before="0" w:beforeAutospacing="0" w:after="120" w:afterAutospacing="0" w:line="252" w:lineRule="auto"/>
        <w:ind w:right="187"/>
        <w:rPr>
          <w:rFonts w:ascii="Arial" w:eastAsia="Times New Roman" w:hAnsi="Arial" w:cs="Arial"/>
          <w:lang w:eastAsia="en-US"/>
        </w:rPr>
      </w:pPr>
      <w:r>
        <w:rPr>
          <w:rFonts w:ascii="Arial" w:eastAsia="Times New Roman" w:hAnsi="Arial" w:cs="Arial"/>
        </w:rPr>
        <w:t xml:space="preserve">Ensure that a site has a process in place to direct patients either directly to receive their vaccination or to a person who </w:t>
      </w:r>
      <w:proofErr w:type="gramStart"/>
      <w:r>
        <w:rPr>
          <w:rFonts w:ascii="Arial" w:eastAsia="Times New Roman" w:hAnsi="Arial" w:cs="Arial"/>
        </w:rPr>
        <w:t>is able to</w:t>
      </w:r>
      <w:proofErr w:type="gramEnd"/>
      <w:r>
        <w:rPr>
          <w:rFonts w:ascii="Arial" w:eastAsia="Times New Roman" w:hAnsi="Arial" w:cs="Arial"/>
        </w:rPr>
        <w:t xml:space="preserve"> have a clinical discussion if that is considered necessary. If a clinical discussion is required but there is not a suitable clinician available on site, please ask staff to arrange this to happen with the patient at the earliest opportunity.</w:t>
      </w:r>
    </w:p>
    <w:p w14:paraId="094C89CB" w14:textId="77777777" w:rsidR="00432912" w:rsidRDefault="00432912" w:rsidP="00432912">
      <w:pPr>
        <w:pStyle w:val="wordsection1"/>
        <w:numPr>
          <w:ilvl w:val="0"/>
          <w:numId w:val="4"/>
        </w:numPr>
        <w:spacing w:beforeAutospacing="0" w:afterAutospacing="0" w:line="252" w:lineRule="auto"/>
        <w:ind w:right="187"/>
        <w:contextualSpacing/>
        <w:rPr>
          <w:rFonts w:ascii="Arial" w:eastAsia="Times New Roman" w:hAnsi="Arial" w:cs="Arial"/>
          <w:lang w:eastAsia="en-US"/>
        </w:rPr>
      </w:pPr>
      <w:r>
        <w:rPr>
          <w:rFonts w:ascii="Arial" w:eastAsia="Times New Roman" w:hAnsi="Arial" w:cs="Arial"/>
        </w:rPr>
        <w:t xml:space="preserve">Ensure that your site has a process for recording any patient assessment; paper records are expected </w:t>
      </w:r>
      <w:proofErr w:type="gramStart"/>
      <w:r>
        <w:rPr>
          <w:rFonts w:ascii="Arial" w:eastAsia="Times New Roman" w:hAnsi="Arial" w:cs="Arial"/>
        </w:rPr>
        <w:t>to  only</w:t>
      </w:r>
      <w:proofErr w:type="gramEnd"/>
      <w:r>
        <w:rPr>
          <w:rFonts w:ascii="Arial" w:eastAsia="Times New Roman" w:hAnsi="Arial" w:cs="Arial"/>
        </w:rPr>
        <w:t xml:space="preserve"> be used as a business continuity solution and information would need including into electronic records retrospectively.</w:t>
      </w:r>
    </w:p>
    <w:p w14:paraId="584ED982" w14:textId="77777777" w:rsidR="00432912" w:rsidRDefault="00432912" w:rsidP="00432912">
      <w:pPr>
        <w:pStyle w:val="wordsection1"/>
        <w:numPr>
          <w:ilvl w:val="0"/>
          <w:numId w:val="4"/>
        </w:numPr>
        <w:spacing w:beforeAutospacing="0" w:afterAutospacing="0" w:line="252" w:lineRule="auto"/>
        <w:ind w:right="187"/>
        <w:contextualSpacing/>
        <w:rPr>
          <w:rFonts w:ascii="Arial" w:eastAsia="Times New Roman" w:hAnsi="Arial" w:cs="Arial"/>
          <w:lang w:eastAsia="en-US"/>
        </w:rPr>
      </w:pPr>
    </w:p>
    <w:bookmarkEnd w:id="0"/>
    <w:p w14:paraId="63FB22DF" w14:textId="77777777" w:rsidR="00432912" w:rsidRDefault="00432912" w:rsidP="00432912">
      <w:pPr>
        <w:pStyle w:val="wordsection1"/>
        <w:spacing w:before="40" w:beforeAutospacing="0" w:after="40" w:afterAutospacing="0"/>
        <w:ind w:right="187"/>
        <w:rPr>
          <w:rFonts w:ascii="Arial" w:hAnsi="Arial" w:cs="Arial"/>
          <w:lang w:eastAsia="en-US"/>
        </w:rPr>
      </w:pPr>
      <w:r>
        <w:rPr>
          <w:rFonts w:ascii="Arial" w:hAnsi="Arial" w:cs="Arial"/>
        </w:rPr>
        <w:t>If you have any questions, please contact </w:t>
      </w:r>
      <w:hyperlink r:id="rId8" w:tgtFrame="_blank" w:history="1">
        <w:r>
          <w:rPr>
            <w:rStyle w:val="Hyperlink"/>
            <w:rFonts w:ascii="Arial" w:hAnsi="Arial" w:cs="Arial"/>
          </w:rPr>
          <w:t>england.vaccinecentresgroupsupport@nhs.net</w:t>
        </w:r>
      </w:hyperlink>
      <w:r>
        <w:rPr>
          <w:rFonts w:ascii="Arial" w:hAnsi="Arial" w:cs="Arial"/>
        </w:rPr>
        <w:t> for Vaccination Centres Support or </w:t>
      </w:r>
      <w:hyperlink r:id="rId9" w:tgtFrame="_blank" w:history="1">
        <w:r>
          <w:rPr>
            <w:rStyle w:val="Hyperlink"/>
            <w:rFonts w:ascii="Arial" w:hAnsi="Arial" w:cs="Arial"/>
          </w:rPr>
          <w:t>england.pccovidvaccine@nhs.net</w:t>
        </w:r>
      </w:hyperlink>
      <w:r>
        <w:rPr>
          <w:rFonts w:ascii="Arial" w:hAnsi="Arial" w:cs="Arial"/>
        </w:rPr>
        <w:t> for Local Vaccination Centres (Primary Care Networks and Pharmacies).  </w:t>
      </w:r>
    </w:p>
    <w:p w14:paraId="30B8AAAC" w14:textId="77777777" w:rsidR="00E0134E" w:rsidRDefault="00432912"/>
    <w:sectPr w:rsidR="00E013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CA3898"/>
    <w:multiLevelType w:val="hybridMultilevel"/>
    <w:tmpl w:val="CB0664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D141101"/>
    <w:multiLevelType w:val="hybridMultilevel"/>
    <w:tmpl w:val="EEDAB4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62F35B38"/>
    <w:multiLevelType w:val="hybridMultilevel"/>
    <w:tmpl w:val="8E98FA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7A90306E"/>
    <w:multiLevelType w:val="hybridMultilevel"/>
    <w:tmpl w:val="2FF650D6"/>
    <w:lvl w:ilvl="0" w:tplc="3D02E680">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2912"/>
    <w:rsid w:val="00432912"/>
    <w:rsid w:val="00526C66"/>
    <w:rsid w:val="00802293"/>
    <w:rsid w:val="009020A3"/>
    <w:rsid w:val="00BB5E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0AC11"/>
  <w15:chartTrackingRefBased/>
  <w15:docId w15:val="{9AB4233F-02D5-46C1-82FA-08D30A348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32912"/>
    <w:rPr>
      <w:color w:val="0563C1"/>
      <w:u w:val="single"/>
    </w:rPr>
  </w:style>
  <w:style w:type="paragraph" w:customStyle="1" w:styleId="paragraph">
    <w:name w:val="paragraph"/>
    <w:basedOn w:val="Normal"/>
    <w:rsid w:val="00432912"/>
    <w:pPr>
      <w:spacing w:before="100" w:beforeAutospacing="1" w:after="100" w:afterAutospacing="1" w:line="240" w:lineRule="auto"/>
    </w:pPr>
    <w:rPr>
      <w:rFonts w:ascii="Calibri" w:hAnsi="Calibri" w:cs="Calibri"/>
      <w:lang w:eastAsia="en-GB"/>
    </w:rPr>
  </w:style>
  <w:style w:type="paragraph" w:customStyle="1" w:styleId="wordsection1">
    <w:name w:val="wordsection1"/>
    <w:basedOn w:val="Normal"/>
    <w:rsid w:val="00432912"/>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4329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681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gland.vaccinecentresgroupsupport@nhs.net" TargetMode="External"/><Relationship Id="rId3" Type="http://schemas.openxmlformats.org/officeDocument/2006/relationships/settings" Target="settings.xml"/><Relationship Id="rId7" Type="http://schemas.openxmlformats.org/officeDocument/2006/relationships/hyperlink" Target="https://future.nhs.uk/CovidVaccinations/view?objectId=3290580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uture.nhs.uk/CovidVaccinations/view?objectId=126615813" TargetMode="External"/><Relationship Id="rId11" Type="http://schemas.openxmlformats.org/officeDocument/2006/relationships/theme" Target="theme/theme1.xml"/><Relationship Id="rId5" Type="http://schemas.openxmlformats.org/officeDocument/2006/relationships/hyperlink" Target="https://www.gov.uk/government/publications/covid-19-the-green-book-chapter-14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england.pccovidvaccine@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691</Words>
  <Characters>3940</Characters>
  <Application>Microsoft Office Word</Application>
  <DocSecurity>0</DocSecurity>
  <Lines>32</Lines>
  <Paragraphs>9</Paragraphs>
  <ScaleCrop>false</ScaleCrop>
  <Company/>
  <LinksUpToDate>false</LinksUpToDate>
  <CharactersWithSpaces>4622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CCG)</dc:creator>
  <cp:keywords/>
  <dc:description/>
  <cp:lastModifiedBy>DUGGAL, Nisha (NHS FRIMLEY CCG)</cp:lastModifiedBy>
  <cp:revision>1</cp:revision>
  <dcterms:created xsi:type="dcterms:W3CDTF">2022-03-15T17:56:00Z</dcterms:created>
  <dcterms:modified xsi:type="dcterms:W3CDTF">2022-03-15T17:57:00Z</dcterms:modified>
</cp:coreProperties>
</file>