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9762AD" w14:textId="77777777" w:rsidR="00A20047" w:rsidRPr="007A29B0" w:rsidRDefault="00A20047" w:rsidP="00A20047">
      <w:pPr>
        <w:rPr>
          <w:rFonts w:ascii="Arial" w:hAnsi="Arial" w:cs="Arial"/>
          <w:b/>
          <w:sz w:val="28"/>
          <w:szCs w:val="28"/>
        </w:rPr>
      </w:pPr>
      <w:r w:rsidRPr="007A29B0">
        <w:rPr>
          <w:rFonts w:ascii="Arial" w:hAnsi="Arial" w:cs="Arial"/>
          <w:b/>
          <w:sz w:val="28"/>
          <w:szCs w:val="28"/>
        </w:rPr>
        <w:t>Operational Guidance for Booster Walk-ins</w:t>
      </w:r>
    </w:p>
    <w:p w14:paraId="3BB14A49" w14:textId="77777777" w:rsidR="00A20047" w:rsidRDefault="00A20047" w:rsidP="00A20047">
      <w:pPr>
        <w:rPr>
          <w:rFonts w:ascii="Arial" w:hAnsi="Arial" w:cs="Arial"/>
          <w:b/>
          <w:sz w:val="32"/>
          <w:szCs w:val="32"/>
        </w:rPr>
      </w:pPr>
    </w:p>
    <w:p w14:paraId="1B7B9848" w14:textId="77777777" w:rsidR="00A20047" w:rsidRPr="00BF7D45" w:rsidRDefault="00A20047" w:rsidP="00A20047">
      <w:pPr>
        <w:spacing w:after="160" w:line="252" w:lineRule="auto"/>
        <w:rPr>
          <w:rFonts w:ascii="Arial" w:hAnsi="Arial" w:cs="Arial"/>
        </w:rPr>
      </w:pPr>
      <w:r w:rsidRPr="00BF7D45">
        <w:rPr>
          <w:rFonts w:ascii="Arial" w:hAnsi="Arial" w:cs="Arial"/>
        </w:rPr>
        <w:t>Operational guidance: provision of walk-ins for severely immunosuppressed people who present for a third primary COVID-19 vaccine dose without a GP or specialist referral letter or a booster with a referral letter from the GP or specialist</w:t>
      </w:r>
      <w:r>
        <w:rPr>
          <w:rFonts w:ascii="Arial" w:hAnsi="Arial" w:cs="Arial"/>
        </w:rPr>
        <w:t xml:space="preserve">. More details can be found in the link: </w:t>
      </w:r>
    </w:p>
    <w:p w14:paraId="6F8DB9C0" w14:textId="77777777" w:rsidR="00A20047" w:rsidRPr="007A29B0" w:rsidRDefault="00A20047" w:rsidP="00A20047">
      <w:pPr>
        <w:numPr>
          <w:ilvl w:val="0"/>
          <w:numId w:val="1"/>
        </w:numPr>
        <w:spacing w:line="252" w:lineRule="auto"/>
        <w:ind w:left="357" w:hanging="357"/>
        <w:contextualSpacing/>
        <w:rPr>
          <w:rFonts w:ascii="Arial" w:hAnsi="Arial" w:cs="Arial"/>
          <w:sz w:val="24"/>
          <w:szCs w:val="24"/>
        </w:rPr>
      </w:pPr>
      <w:r w:rsidRPr="007A29B0">
        <w:rPr>
          <w:rFonts w:ascii="Arial" w:hAnsi="Arial" w:cs="Arial"/>
          <w:sz w:val="24"/>
          <w:szCs w:val="24"/>
        </w:rPr>
        <w:t xml:space="preserve">From 17 December: </w:t>
      </w:r>
    </w:p>
    <w:p w14:paraId="2B1BF269" w14:textId="77777777" w:rsidR="00A20047" w:rsidRDefault="00A20047" w:rsidP="00A20047">
      <w:pPr>
        <w:numPr>
          <w:ilvl w:val="0"/>
          <w:numId w:val="2"/>
        </w:numPr>
        <w:spacing w:line="252" w:lineRule="auto"/>
        <w:rPr>
          <w:rFonts w:ascii="Arial" w:eastAsia="Times New Roman" w:hAnsi="Arial" w:cs="Arial"/>
          <w:sz w:val="24"/>
          <w:szCs w:val="24"/>
          <w:lang w:val="en-US"/>
        </w:rPr>
      </w:pPr>
      <w:r>
        <w:rPr>
          <w:rFonts w:ascii="Arial" w:eastAsia="Times New Roman" w:hAnsi="Arial" w:cs="Arial"/>
          <w:sz w:val="24"/>
          <w:szCs w:val="24"/>
          <w:lang w:val="en-US"/>
        </w:rPr>
        <w:t>Any walk-in clinic will be required to provide a third primary dose and booster dose for severely immunosuppressed people attending with a GP or specialist referral letter</w:t>
      </w:r>
      <w:r>
        <w:rPr>
          <w:rFonts w:ascii="Arial" w:eastAsia="Times New Roman" w:hAnsi="Arial" w:cs="Arial"/>
          <w:sz w:val="24"/>
          <w:szCs w:val="24"/>
        </w:rPr>
        <w:t>. A GP or specialist referral letter confirming third primary dose eligibility is sufficient evidence to confirm eligibility for a booster, however, clinical assessment is required to ensure optimal timing.</w:t>
      </w:r>
    </w:p>
    <w:p w14:paraId="6A2F8321" w14:textId="77777777" w:rsidR="00A20047" w:rsidRDefault="00A20047" w:rsidP="00A20047">
      <w:pPr>
        <w:numPr>
          <w:ilvl w:val="0"/>
          <w:numId w:val="2"/>
        </w:numPr>
        <w:spacing w:line="252" w:lineRule="auto"/>
        <w:rPr>
          <w:rFonts w:ascii="Arial" w:eastAsia="Times New Roman" w:hAnsi="Arial" w:cs="Arial"/>
          <w:color w:val="000000"/>
          <w:sz w:val="24"/>
          <w:szCs w:val="24"/>
        </w:rPr>
      </w:pPr>
      <w:r>
        <w:rPr>
          <w:rFonts w:ascii="Arial" w:eastAsia="Times New Roman" w:hAnsi="Arial" w:cs="Arial"/>
          <w:color w:val="000000"/>
          <w:sz w:val="24"/>
          <w:szCs w:val="24"/>
          <w:lang w:val="en-US"/>
        </w:rPr>
        <w:t xml:space="preserve">Sites who have indicated </w:t>
      </w:r>
      <w:r>
        <w:rPr>
          <w:rFonts w:ascii="Arial" w:eastAsia="Times New Roman" w:hAnsi="Arial" w:cs="Arial"/>
          <w:sz w:val="24"/>
          <w:szCs w:val="24"/>
        </w:rPr>
        <w:t xml:space="preserve">'third dose availability' </w:t>
      </w:r>
      <w:r>
        <w:rPr>
          <w:rFonts w:ascii="Arial" w:eastAsia="Times New Roman" w:hAnsi="Arial" w:cs="Arial"/>
          <w:color w:val="000000"/>
          <w:sz w:val="24"/>
          <w:szCs w:val="24"/>
          <w:lang w:val="en-US"/>
        </w:rPr>
        <w:t xml:space="preserve">under their profile on </w:t>
      </w:r>
      <w:hyperlink r:id="rId7" w:history="1">
        <w:r>
          <w:rPr>
            <w:rStyle w:val="Hyperlink"/>
            <w:rFonts w:ascii="Arial" w:eastAsia="Times New Roman" w:hAnsi="Arial" w:cs="Arial"/>
            <w:sz w:val="24"/>
            <w:szCs w:val="24"/>
            <w:lang w:val="en-US"/>
          </w:rPr>
          <w:t>the walk-in vaccination site finder</w:t>
        </w:r>
      </w:hyperlink>
      <w:r>
        <w:rPr>
          <w:rFonts w:ascii="Arial" w:eastAsia="Times New Roman" w:hAnsi="Arial" w:cs="Arial"/>
          <w:color w:val="000000"/>
          <w:sz w:val="24"/>
          <w:szCs w:val="24"/>
          <w:lang w:val="en-US"/>
        </w:rPr>
        <w:t xml:space="preserve"> will be required to provide a third primary dose to </w:t>
      </w:r>
      <w:r>
        <w:rPr>
          <w:rFonts w:ascii="Arial" w:eastAsia="Times New Roman" w:hAnsi="Arial" w:cs="Arial"/>
          <w:color w:val="000000"/>
          <w:sz w:val="24"/>
          <w:szCs w:val="24"/>
        </w:rPr>
        <w:t xml:space="preserve">eligible severely immunosuppressed people who present relevant medical evidence (see below). The clinician on site will be required to conduct a clinical assessment to confirm third dose eligibility based on the medical evidence provided. </w:t>
      </w:r>
    </w:p>
    <w:p w14:paraId="3BC672CA" w14:textId="77777777" w:rsidR="00A20047" w:rsidRDefault="00A20047" w:rsidP="00A20047">
      <w:pPr>
        <w:numPr>
          <w:ilvl w:val="0"/>
          <w:numId w:val="1"/>
        </w:numPr>
        <w:spacing w:line="252" w:lineRule="auto"/>
        <w:ind w:left="357" w:hanging="357"/>
        <w:contextualSpacing/>
        <w:rPr>
          <w:rFonts w:ascii="Arial" w:hAnsi="Arial" w:cs="Arial"/>
          <w:color w:val="000000"/>
          <w:sz w:val="24"/>
          <w:szCs w:val="24"/>
        </w:rPr>
      </w:pPr>
      <w:r>
        <w:rPr>
          <w:rFonts w:ascii="Arial" w:hAnsi="Arial" w:cs="Arial"/>
          <w:color w:val="000000"/>
          <w:sz w:val="24"/>
          <w:szCs w:val="24"/>
        </w:rPr>
        <w:t>This note set out operational guidance to support the above</w:t>
      </w:r>
    </w:p>
    <w:p w14:paraId="472E7524" w14:textId="77777777" w:rsidR="00A20047" w:rsidRDefault="00A20047" w:rsidP="00A20047">
      <w:pPr>
        <w:spacing w:line="252" w:lineRule="auto"/>
        <w:rPr>
          <w:rFonts w:ascii="Arial" w:hAnsi="Arial" w:cs="Arial"/>
          <w:sz w:val="24"/>
          <w:szCs w:val="24"/>
        </w:rPr>
      </w:pPr>
    </w:p>
    <w:p w14:paraId="5C50C409" w14:textId="77777777" w:rsidR="00A20047" w:rsidRDefault="00A20047" w:rsidP="00A20047">
      <w:pPr>
        <w:spacing w:after="120" w:line="252" w:lineRule="auto"/>
        <w:rPr>
          <w:rFonts w:ascii="Arial" w:hAnsi="Arial" w:cs="Arial"/>
          <w:b/>
          <w:bCs/>
          <w:sz w:val="24"/>
          <w:szCs w:val="24"/>
        </w:rPr>
      </w:pPr>
      <w:r>
        <w:rPr>
          <w:rFonts w:ascii="Arial" w:hAnsi="Arial" w:cs="Arial"/>
          <w:b/>
          <w:bCs/>
          <w:sz w:val="24"/>
          <w:szCs w:val="24"/>
        </w:rPr>
        <w:t>Note: For this group the booster will be a fourth dose following completion of their primary course of vaccination that comprises three doses.</w:t>
      </w:r>
    </w:p>
    <w:p w14:paraId="217D84EF" w14:textId="77777777" w:rsidR="00A20047" w:rsidRDefault="00A20047" w:rsidP="00A20047">
      <w:pPr>
        <w:spacing w:after="120" w:line="252" w:lineRule="auto"/>
        <w:rPr>
          <w:rFonts w:ascii="Arial" w:hAnsi="Arial" w:cs="Arial"/>
          <w:sz w:val="24"/>
          <w:szCs w:val="24"/>
          <w:u w:val="single"/>
        </w:rPr>
      </w:pPr>
      <w:r>
        <w:rPr>
          <w:rFonts w:ascii="Arial" w:hAnsi="Arial" w:cs="Arial"/>
          <w:sz w:val="24"/>
          <w:szCs w:val="24"/>
          <w:u w:val="single"/>
        </w:rPr>
        <w:t>Update walk-in coronavirus (COVID-19) vaccination site finder website</w:t>
      </w:r>
    </w:p>
    <w:p w14:paraId="67617B5F" w14:textId="77777777" w:rsidR="00A20047" w:rsidRDefault="00A20047" w:rsidP="00A20047">
      <w:pPr>
        <w:numPr>
          <w:ilvl w:val="0"/>
          <w:numId w:val="1"/>
        </w:numPr>
        <w:spacing w:line="252" w:lineRule="auto"/>
        <w:ind w:left="357" w:hanging="357"/>
        <w:contextualSpacing/>
        <w:rPr>
          <w:rFonts w:ascii="Arial" w:hAnsi="Arial" w:cs="Arial"/>
          <w:sz w:val="24"/>
          <w:szCs w:val="24"/>
        </w:rPr>
      </w:pPr>
      <w:r>
        <w:rPr>
          <w:rFonts w:ascii="Arial" w:hAnsi="Arial" w:cs="Arial"/>
          <w:sz w:val="24"/>
          <w:szCs w:val="24"/>
        </w:rPr>
        <w:t xml:space="preserve">From today, 17 December, the </w:t>
      </w:r>
      <w:hyperlink r:id="rId8" w:history="1">
        <w:r>
          <w:rPr>
            <w:rStyle w:val="Hyperlink"/>
            <w:rFonts w:ascii="Arial" w:hAnsi="Arial" w:cs="Arial"/>
            <w:sz w:val="24"/>
            <w:szCs w:val="24"/>
          </w:rPr>
          <w:t>walk-in coronavirus (COVID-19) vaccination site finder</w:t>
        </w:r>
      </w:hyperlink>
      <w:r>
        <w:rPr>
          <w:rFonts w:ascii="Arial" w:hAnsi="Arial" w:cs="Arial"/>
          <w:sz w:val="24"/>
          <w:szCs w:val="24"/>
        </w:rPr>
        <w:t xml:space="preserve"> will be updated to </w:t>
      </w:r>
    </w:p>
    <w:p w14:paraId="21C6CE58" w14:textId="77777777" w:rsidR="00A20047" w:rsidRDefault="00A20047" w:rsidP="00A20047">
      <w:pPr>
        <w:numPr>
          <w:ilvl w:val="0"/>
          <w:numId w:val="3"/>
        </w:numPr>
        <w:spacing w:line="252" w:lineRule="auto"/>
        <w:contextualSpacing/>
        <w:rPr>
          <w:rFonts w:ascii="Arial" w:eastAsia="Times New Roman" w:hAnsi="Arial" w:cs="Arial"/>
          <w:sz w:val="24"/>
          <w:szCs w:val="24"/>
        </w:rPr>
      </w:pPr>
      <w:r>
        <w:rPr>
          <w:rFonts w:ascii="Arial" w:eastAsia="Times New Roman" w:hAnsi="Arial" w:cs="Arial"/>
          <w:sz w:val="24"/>
          <w:szCs w:val="24"/>
        </w:rPr>
        <w:t xml:space="preserve">allow </w:t>
      </w:r>
      <w:r>
        <w:rPr>
          <w:rFonts w:ascii="Arial" w:eastAsia="Times New Roman" w:hAnsi="Arial" w:cs="Arial"/>
          <w:sz w:val="24"/>
          <w:szCs w:val="24"/>
          <w:lang w:val="en-US"/>
        </w:rPr>
        <w:t xml:space="preserve">people who believe they may be eligible for a third primary dose and have relevant medical evidence </w:t>
      </w:r>
      <w:r>
        <w:rPr>
          <w:rFonts w:ascii="Arial" w:eastAsia="Times New Roman" w:hAnsi="Arial" w:cs="Arial"/>
          <w:sz w:val="24"/>
          <w:szCs w:val="24"/>
        </w:rPr>
        <w:t xml:space="preserve">(but </w:t>
      </w:r>
      <w:r>
        <w:rPr>
          <w:rFonts w:ascii="Arial" w:eastAsia="Times New Roman" w:hAnsi="Arial" w:cs="Arial"/>
          <w:sz w:val="24"/>
          <w:szCs w:val="24"/>
          <w:u w:val="single"/>
        </w:rPr>
        <w:t>without a GP or specialist referral letter)</w:t>
      </w:r>
      <w:r>
        <w:rPr>
          <w:rFonts w:ascii="Arial" w:eastAsia="Times New Roman" w:hAnsi="Arial" w:cs="Arial"/>
          <w:sz w:val="24"/>
          <w:szCs w:val="24"/>
        </w:rPr>
        <w:t xml:space="preserve"> to walk-in to clinics that have flagged 'third dose availability' on their site profile on the walk-in vaccination site finder to receiver their third primary dose. 'Third dose availability' on a site profile indicates a clinician is on site to undertake this assessment. </w:t>
      </w:r>
    </w:p>
    <w:p w14:paraId="62E6CFD9" w14:textId="77777777" w:rsidR="00A20047" w:rsidRDefault="00A20047" w:rsidP="00A20047">
      <w:pPr>
        <w:numPr>
          <w:ilvl w:val="0"/>
          <w:numId w:val="3"/>
        </w:numPr>
        <w:spacing w:line="252" w:lineRule="auto"/>
        <w:contextualSpacing/>
        <w:rPr>
          <w:rFonts w:ascii="Arial" w:eastAsia="Times New Roman" w:hAnsi="Arial" w:cs="Arial"/>
          <w:sz w:val="24"/>
          <w:szCs w:val="24"/>
        </w:rPr>
      </w:pPr>
      <w:r>
        <w:rPr>
          <w:rFonts w:ascii="Arial" w:eastAsia="Times New Roman" w:hAnsi="Arial" w:cs="Arial"/>
          <w:sz w:val="24"/>
          <w:szCs w:val="24"/>
        </w:rPr>
        <w:t xml:space="preserve">allow severely immunosuppressed </w:t>
      </w:r>
      <w:r>
        <w:rPr>
          <w:rFonts w:ascii="Arial" w:eastAsia="Times New Roman" w:hAnsi="Arial" w:cs="Arial"/>
          <w:sz w:val="24"/>
          <w:szCs w:val="24"/>
          <w:u w:val="single"/>
        </w:rPr>
        <w:t>with a referral letter for the third primary dose</w:t>
      </w:r>
      <w:r>
        <w:rPr>
          <w:rFonts w:ascii="Arial" w:eastAsia="Times New Roman" w:hAnsi="Arial" w:cs="Arial"/>
          <w:sz w:val="24"/>
          <w:szCs w:val="24"/>
        </w:rPr>
        <w:t xml:space="preserve"> to </w:t>
      </w:r>
      <w:r>
        <w:rPr>
          <w:rFonts w:ascii="Arial" w:eastAsia="Times New Roman" w:hAnsi="Arial" w:cs="Arial"/>
          <w:b/>
          <w:bCs/>
          <w:sz w:val="24"/>
          <w:szCs w:val="24"/>
        </w:rPr>
        <w:t xml:space="preserve">any </w:t>
      </w:r>
      <w:r>
        <w:rPr>
          <w:rFonts w:ascii="Arial" w:eastAsia="Times New Roman" w:hAnsi="Arial" w:cs="Arial"/>
          <w:sz w:val="24"/>
          <w:szCs w:val="24"/>
        </w:rPr>
        <w:t xml:space="preserve">walk-in site providing boosters to receive </w:t>
      </w:r>
      <w:r>
        <w:rPr>
          <w:rFonts w:ascii="Arial" w:eastAsia="Times New Roman" w:hAnsi="Arial" w:cs="Arial"/>
          <w:b/>
          <w:bCs/>
          <w:sz w:val="24"/>
          <w:szCs w:val="24"/>
        </w:rPr>
        <w:t>their booster</w:t>
      </w:r>
      <w:r>
        <w:rPr>
          <w:rFonts w:ascii="Arial" w:eastAsia="Times New Roman" w:hAnsi="Arial" w:cs="Arial"/>
          <w:sz w:val="24"/>
          <w:szCs w:val="24"/>
        </w:rPr>
        <w:t>. An assessment should be undertaken by a clinician on site to ensure that this is optimally timed as per the Green Book.</w:t>
      </w:r>
    </w:p>
    <w:p w14:paraId="4BC0956B" w14:textId="77777777" w:rsidR="00A20047" w:rsidRDefault="00A20047" w:rsidP="00A20047">
      <w:pPr>
        <w:spacing w:after="160" w:line="252" w:lineRule="auto"/>
        <w:rPr>
          <w:rFonts w:ascii="Arial" w:hAnsi="Arial" w:cs="Arial"/>
          <w:sz w:val="24"/>
          <w:szCs w:val="24"/>
          <w:u w:val="single"/>
        </w:rPr>
      </w:pPr>
    </w:p>
    <w:p w14:paraId="3630FEB1" w14:textId="77777777" w:rsidR="00A20047" w:rsidRDefault="00A20047" w:rsidP="00A20047">
      <w:pPr>
        <w:spacing w:line="252" w:lineRule="auto"/>
        <w:rPr>
          <w:rFonts w:ascii="Arial" w:hAnsi="Arial" w:cs="Arial"/>
          <w:sz w:val="24"/>
          <w:szCs w:val="24"/>
          <w:u w:val="single"/>
        </w:rPr>
      </w:pPr>
      <w:r>
        <w:rPr>
          <w:rFonts w:ascii="Arial" w:hAnsi="Arial" w:cs="Arial"/>
          <w:sz w:val="24"/>
          <w:szCs w:val="24"/>
          <w:u w:val="single"/>
        </w:rPr>
        <w:t>Clinical assessment – third primary dose</w:t>
      </w:r>
    </w:p>
    <w:p w14:paraId="10A79775" w14:textId="77777777" w:rsidR="00A20047" w:rsidRDefault="00A20047" w:rsidP="00A20047">
      <w:pPr>
        <w:spacing w:line="252" w:lineRule="auto"/>
        <w:rPr>
          <w:rFonts w:ascii="Arial" w:hAnsi="Arial" w:cs="Arial"/>
          <w:sz w:val="24"/>
          <w:szCs w:val="24"/>
          <w:u w:val="single"/>
        </w:rPr>
      </w:pPr>
    </w:p>
    <w:p w14:paraId="086A1E1A" w14:textId="77777777" w:rsidR="00A20047" w:rsidRDefault="00A20047" w:rsidP="00A20047">
      <w:pPr>
        <w:numPr>
          <w:ilvl w:val="0"/>
          <w:numId w:val="1"/>
        </w:numPr>
        <w:spacing w:line="252" w:lineRule="auto"/>
        <w:ind w:left="357" w:hanging="357"/>
        <w:contextualSpacing/>
        <w:rPr>
          <w:rFonts w:ascii="Arial" w:hAnsi="Arial" w:cs="Arial"/>
          <w:sz w:val="24"/>
          <w:szCs w:val="24"/>
        </w:rPr>
      </w:pPr>
      <w:r w:rsidRPr="00CC5CD4">
        <w:rPr>
          <w:rFonts w:ascii="Arial" w:hAnsi="Arial" w:cs="Arial"/>
        </w:rPr>
        <w:t xml:space="preserve">JCVI have updated </w:t>
      </w:r>
      <w:proofErr w:type="gramStart"/>
      <w:r w:rsidRPr="00CC5CD4">
        <w:rPr>
          <w:rFonts w:ascii="Arial" w:hAnsi="Arial" w:cs="Arial"/>
        </w:rPr>
        <w:t>advice</w:t>
      </w:r>
      <w:r w:rsidRPr="00CC5CD4">
        <w:rPr>
          <w:rFonts w:ascii="Arial" w:hAnsi="Arial" w:cs="Arial"/>
          <w:vertAlign w:val="superscript"/>
        </w:rPr>
        <w:footnoteReference w:customMarkFollows="1" w:id="1"/>
        <w:t>[</w:t>
      </w:r>
      <w:proofErr w:type="gramEnd"/>
      <w:r w:rsidRPr="00CC5CD4">
        <w:rPr>
          <w:rFonts w:ascii="Arial" w:hAnsi="Arial" w:cs="Arial"/>
          <w:vertAlign w:val="superscript"/>
        </w:rPr>
        <w:t>1]</w:t>
      </w:r>
      <w:r w:rsidRPr="00CC5CD4">
        <w:rPr>
          <w:rFonts w:ascii="Arial" w:hAnsi="Arial" w:cs="Arial"/>
        </w:rPr>
        <w:t>: Whilst access for eligible severely immunosuppressed people to a third primary dose previously required the</w:t>
      </w:r>
      <w:r>
        <w:rPr>
          <w:rFonts w:ascii="Arial" w:hAnsi="Arial" w:cs="Arial"/>
          <w:sz w:val="24"/>
          <w:szCs w:val="24"/>
        </w:rPr>
        <w:t xml:space="preserve"> involvement of their GP or </w:t>
      </w:r>
      <w:r>
        <w:rPr>
          <w:rFonts w:ascii="Arial" w:hAnsi="Arial" w:cs="Arial"/>
          <w:sz w:val="24"/>
          <w:szCs w:val="24"/>
        </w:rPr>
        <w:lastRenderedPageBreak/>
        <w:t xml:space="preserve">Specialist in identifying the appropriate clinical </w:t>
      </w:r>
      <w:r>
        <w:rPr>
          <w:rFonts w:ascii="Arial" w:hAnsi="Arial" w:cs="Arial"/>
          <w:sz w:val="24"/>
          <w:szCs w:val="24"/>
          <w:u w:val="single"/>
        </w:rPr>
        <w:t>timing</w:t>
      </w:r>
      <w:r>
        <w:rPr>
          <w:rFonts w:ascii="Arial" w:hAnsi="Arial" w:cs="Arial"/>
          <w:sz w:val="24"/>
          <w:szCs w:val="24"/>
        </w:rPr>
        <w:t xml:space="preserve">, the updated advice enables vaccination sites to offer a third primary dose subject to the availability of a competent clinician who can assess if the person is </w:t>
      </w:r>
      <w:r>
        <w:rPr>
          <w:rFonts w:ascii="Arial" w:hAnsi="Arial" w:cs="Arial"/>
          <w:sz w:val="24"/>
          <w:szCs w:val="24"/>
          <w:u w:val="single"/>
        </w:rPr>
        <w:t>eligible</w:t>
      </w:r>
      <w:r>
        <w:rPr>
          <w:rFonts w:ascii="Arial" w:hAnsi="Arial" w:cs="Arial"/>
          <w:sz w:val="24"/>
          <w:szCs w:val="24"/>
        </w:rPr>
        <w:t xml:space="preserve"> based on medical evidence provided.</w:t>
      </w:r>
      <w:r>
        <w:rPr>
          <w:rFonts w:ascii="Arial" w:hAnsi="Arial" w:cs="Arial"/>
          <w:i/>
          <w:iCs/>
          <w:sz w:val="24"/>
          <w:szCs w:val="24"/>
        </w:rPr>
        <w:t xml:space="preserve"> </w:t>
      </w:r>
    </w:p>
    <w:p w14:paraId="6A118091" w14:textId="77777777" w:rsidR="00A20047" w:rsidRDefault="00A20047" w:rsidP="00A20047">
      <w:pPr>
        <w:numPr>
          <w:ilvl w:val="0"/>
          <w:numId w:val="1"/>
        </w:numPr>
        <w:spacing w:line="252" w:lineRule="auto"/>
        <w:ind w:left="357" w:hanging="357"/>
        <w:contextualSpacing/>
        <w:rPr>
          <w:rFonts w:ascii="Arial" w:hAnsi="Arial" w:cs="Arial"/>
          <w:sz w:val="24"/>
          <w:szCs w:val="24"/>
        </w:rPr>
      </w:pPr>
      <w:r>
        <w:rPr>
          <w:rFonts w:ascii="Arial" w:hAnsi="Arial" w:cs="Arial"/>
          <w:sz w:val="24"/>
          <w:szCs w:val="24"/>
        </w:rPr>
        <w:t>The Patient Group Direction and National Protocol for Pfizer-BioNTech (</w:t>
      </w:r>
      <w:proofErr w:type="spellStart"/>
      <w:r>
        <w:rPr>
          <w:rFonts w:ascii="Arial" w:hAnsi="Arial" w:cs="Arial"/>
          <w:sz w:val="24"/>
          <w:szCs w:val="24"/>
        </w:rPr>
        <w:t>Comirnaty</w:t>
      </w:r>
      <w:proofErr w:type="spellEnd"/>
      <w:r>
        <w:rPr>
          <w:rFonts w:ascii="Arial" w:hAnsi="Arial" w:cs="Arial"/>
          <w:sz w:val="24"/>
          <w:szCs w:val="24"/>
        </w:rPr>
        <w:t xml:space="preserve">®) and </w:t>
      </w:r>
      <w:proofErr w:type="spellStart"/>
      <w:r>
        <w:rPr>
          <w:rFonts w:ascii="Arial" w:hAnsi="Arial" w:cs="Arial"/>
          <w:sz w:val="24"/>
          <w:szCs w:val="24"/>
        </w:rPr>
        <w:t>Moderna</w:t>
      </w:r>
      <w:proofErr w:type="spellEnd"/>
      <w:r>
        <w:rPr>
          <w:rFonts w:ascii="Arial" w:hAnsi="Arial" w:cs="Arial"/>
          <w:sz w:val="24"/>
          <w:szCs w:val="24"/>
        </w:rPr>
        <w:t xml:space="preserve"> (</w:t>
      </w:r>
      <w:proofErr w:type="spellStart"/>
      <w:r>
        <w:rPr>
          <w:rFonts w:ascii="Arial" w:hAnsi="Arial" w:cs="Arial"/>
          <w:sz w:val="24"/>
          <w:szCs w:val="24"/>
        </w:rPr>
        <w:t>Spikevax</w:t>
      </w:r>
      <w:proofErr w:type="spellEnd"/>
      <w:r>
        <w:rPr>
          <w:rFonts w:ascii="Arial" w:hAnsi="Arial" w:cs="Arial"/>
          <w:sz w:val="24"/>
          <w:szCs w:val="24"/>
        </w:rPr>
        <w:t xml:space="preserve"> ®) COVID-19 vaccine have been updated (</w:t>
      </w:r>
      <w:r>
        <w:rPr>
          <w:rFonts w:ascii="Arial" w:hAnsi="Arial" w:cs="Arial"/>
          <w:color w:val="000000"/>
          <w:sz w:val="24"/>
          <w:szCs w:val="24"/>
        </w:rPr>
        <w:t xml:space="preserve">available </w:t>
      </w:r>
      <w:hyperlink r:id="rId9" w:tooltip="https://www.england.nhs.uk/coronavirus/covid-19-vaccination-programme/legal-mechanisms/" w:history="1">
        <w:r>
          <w:rPr>
            <w:rStyle w:val="Hyperlink"/>
            <w:rFonts w:ascii="Arial" w:hAnsi="Arial" w:cs="Arial"/>
            <w:sz w:val="24"/>
            <w:szCs w:val="24"/>
          </w:rPr>
          <w:t>here</w:t>
        </w:r>
      </w:hyperlink>
      <w:r>
        <w:rPr>
          <w:rFonts w:ascii="Arial" w:hAnsi="Arial" w:cs="Arial"/>
          <w:sz w:val="24"/>
          <w:szCs w:val="24"/>
        </w:rPr>
        <w:t xml:space="preserve">) to enable the administration of a third primary dose without a referral letter subject to a clinical assessment being undertaken by a competent clinician. The third primary dose can be given at eight weeks post the second dose (or later). </w:t>
      </w:r>
    </w:p>
    <w:p w14:paraId="3C7E3290" w14:textId="77777777" w:rsidR="00A20047" w:rsidRDefault="00A20047" w:rsidP="00A20047">
      <w:pPr>
        <w:numPr>
          <w:ilvl w:val="0"/>
          <w:numId w:val="1"/>
        </w:numPr>
        <w:spacing w:line="252" w:lineRule="auto"/>
        <w:ind w:left="357" w:hanging="357"/>
        <w:contextualSpacing/>
        <w:rPr>
          <w:rFonts w:ascii="Arial" w:hAnsi="Arial" w:cs="Arial"/>
          <w:sz w:val="24"/>
          <w:szCs w:val="24"/>
        </w:rPr>
      </w:pPr>
      <w:r>
        <w:rPr>
          <w:rFonts w:ascii="Arial" w:hAnsi="Arial" w:cs="Arial"/>
          <w:sz w:val="24"/>
          <w:szCs w:val="24"/>
        </w:rPr>
        <w:t xml:space="preserve">The clinical framework </w:t>
      </w:r>
      <w:r>
        <w:rPr>
          <w:rFonts w:ascii="Arial" w:hAnsi="Arial" w:cs="Arial"/>
          <w:sz w:val="24"/>
          <w:szCs w:val="24"/>
          <w:lang w:val="en-US"/>
        </w:rPr>
        <w:t>(</w:t>
      </w:r>
      <w:hyperlink r:id="rId10" w:history="1">
        <w:r>
          <w:rPr>
            <w:rStyle w:val="Hyperlink"/>
            <w:rFonts w:ascii="Arial" w:hAnsi="Arial" w:cs="Arial"/>
            <w:sz w:val="24"/>
            <w:szCs w:val="24"/>
            <w:lang w:val="en-US"/>
          </w:rPr>
          <w:t>here</w:t>
        </w:r>
      </w:hyperlink>
      <w:r>
        <w:rPr>
          <w:rFonts w:ascii="Arial" w:hAnsi="Arial" w:cs="Arial"/>
          <w:sz w:val="24"/>
          <w:szCs w:val="24"/>
          <w:lang w:val="en-US"/>
        </w:rPr>
        <w:t xml:space="preserve">) </w:t>
      </w:r>
      <w:r>
        <w:rPr>
          <w:rFonts w:ascii="Arial" w:hAnsi="Arial" w:cs="Arial"/>
          <w:sz w:val="24"/>
          <w:szCs w:val="24"/>
        </w:rPr>
        <w:t xml:space="preserve">for assessing patients presenting for additional COVID-19 vaccine doses due to severe immunosuppression has been developed to support clinicians on site to offer third primary doses for eligible individuals presenting with medical evidence (but without a referral letter). </w:t>
      </w:r>
    </w:p>
    <w:p w14:paraId="506689C4" w14:textId="77777777" w:rsidR="00A20047" w:rsidRDefault="00A20047" w:rsidP="00A20047">
      <w:pPr>
        <w:numPr>
          <w:ilvl w:val="0"/>
          <w:numId w:val="1"/>
        </w:numPr>
        <w:spacing w:line="252" w:lineRule="auto"/>
        <w:ind w:left="357" w:hanging="357"/>
        <w:contextualSpacing/>
        <w:rPr>
          <w:rFonts w:ascii="Arial" w:hAnsi="Arial" w:cs="Arial"/>
          <w:color w:val="000000"/>
          <w:sz w:val="24"/>
          <w:szCs w:val="24"/>
        </w:rPr>
      </w:pPr>
      <w:r>
        <w:rPr>
          <w:rFonts w:ascii="Arial" w:hAnsi="Arial" w:cs="Arial"/>
          <w:sz w:val="24"/>
          <w:szCs w:val="24"/>
        </w:rPr>
        <w:t xml:space="preserve">Medical evidence confirming eligibility for a </w:t>
      </w:r>
      <w:r>
        <w:rPr>
          <w:rFonts w:ascii="Arial" w:hAnsi="Arial" w:cs="Arial"/>
          <w:b/>
          <w:bCs/>
          <w:sz w:val="24"/>
          <w:szCs w:val="24"/>
        </w:rPr>
        <w:t>third primary dose</w:t>
      </w:r>
      <w:r>
        <w:rPr>
          <w:rFonts w:ascii="Arial" w:hAnsi="Arial" w:cs="Arial"/>
          <w:sz w:val="24"/>
          <w:szCs w:val="24"/>
        </w:rPr>
        <w:t xml:space="preserve"> includes:</w:t>
      </w:r>
    </w:p>
    <w:p w14:paraId="08BFFAAD" w14:textId="77777777" w:rsidR="00A20047" w:rsidRDefault="00A20047" w:rsidP="00A20047">
      <w:pPr>
        <w:spacing w:line="252" w:lineRule="auto"/>
        <w:rPr>
          <w:rFonts w:ascii="Arial" w:hAnsi="Arial" w:cs="Arial"/>
          <w:sz w:val="24"/>
          <w:szCs w:val="24"/>
        </w:rPr>
      </w:pPr>
    </w:p>
    <w:p w14:paraId="4800637D" w14:textId="77777777" w:rsidR="00A20047" w:rsidRDefault="00A20047" w:rsidP="00A20047">
      <w:pPr>
        <w:numPr>
          <w:ilvl w:val="0"/>
          <w:numId w:val="4"/>
        </w:numPr>
        <w:spacing w:line="252" w:lineRule="auto"/>
        <w:rPr>
          <w:rFonts w:ascii="Arial" w:eastAsia="Times New Roman" w:hAnsi="Arial" w:cs="Arial"/>
          <w:sz w:val="24"/>
          <w:szCs w:val="24"/>
        </w:rPr>
      </w:pPr>
      <w:r>
        <w:rPr>
          <w:rFonts w:ascii="Arial" w:eastAsia="Times New Roman" w:hAnsi="Arial" w:cs="Arial"/>
          <w:sz w:val="24"/>
          <w:szCs w:val="24"/>
        </w:rPr>
        <w:t xml:space="preserve">The referral letter from the person's GP or specialist confirming eligibility and timing of a third primary dose. </w:t>
      </w:r>
    </w:p>
    <w:p w14:paraId="51F5856E" w14:textId="77777777" w:rsidR="00A20047" w:rsidRDefault="00A20047" w:rsidP="00A20047">
      <w:pPr>
        <w:numPr>
          <w:ilvl w:val="0"/>
          <w:numId w:val="4"/>
        </w:numPr>
        <w:spacing w:line="252" w:lineRule="auto"/>
        <w:rPr>
          <w:rFonts w:ascii="Arial" w:eastAsia="Times New Roman" w:hAnsi="Arial" w:cs="Arial"/>
          <w:sz w:val="24"/>
          <w:szCs w:val="24"/>
        </w:rPr>
      </w:pPr>
      <w:r>
        <w:rPr>
          <w:rFonts w:ascii="Arial" w:eastAsia="Times New Roman" w:hAnsi="Arial" w:cs="Arial"/>
          <w:sz w:val="24"/>
          <w:szCs w:val="24"/>
        </w:rPr>
        <w:t>A hospital letter that describes the person's condition at the time of the first and/or second dose</w:t>
      </w:r>
    </w:p>
    <w:p w14:paraId="530CB0B1" w14:textId="77777777" w:rsidR="00A20047" w:rsidRDefault="00A20047" w:rsidP="00A20047">
      <w:pPr>
        <w:numPr>
          <w:ilvl w:val="0"/>
          <w:numId w:val="4"/>
        </w:numPr>
        <w:spacing w:line="252" w:lineRule="auto"/>
        <w:rPr>
          <w:rFonts w:ascii="Arial" w:eastAsia="Times New Roman" w:hAnsi="Arial" w:cs="Arial"/>
          <w:sz w:val="24"/>
          <w:szCs w:val="24"/>
        </w:rPr>
      </w:pPr>
      <w:r>
        <w:rPr>
          <w:rFonts w:ascii="Arial" w:eastAsia="Times New Roman" w:hAnsi="Arial" w:cs="Arial"/>
          <w:sz w:val="24"/>
          <w:szCs w:val="24"/>
        </w:rPr>
        <w:t xml:space="preserve">Evidence of prescribed medication at the time of the first or second dose, either in a hospital letter that describes the medication being prescribed, a prescription </w:t>
      </w:r>
      <w:proofErr w:type="gramStart"/>
      <w:r>
        <w:rPr>
          <w:rFonts w:ascii="Arial" w:eastAsia="Times New Roman" w:hAnsi="Arial" w:cs="Arial"/>
          <w:sz w:val="24"/>
          <w:szCs w:val="24"/>
        </w:rPr>
        <w:t>copy</w:t>
      </w:r>
      <w:proofErr w:type="gramEnd"/>
      <w:r>
        <w:rPr>
          <w:rFonts w:ascii="Arial" w:eastAsia="Times New Roman" w:hAnsi="Arial" w:cs="Arial"/>
          <w:sz w:val="24"/>
          <w:szCs w:val="24"/>
        </w:rPr>
        <w:t xml:space="preserve"> or a medication box with the patient’s name and a date on it. The clinical assessment framework </w:t>
      </w:r>
      <w:r>
        <w:rPr>
          <w:rFonts w:ascii="Arial" w:eastAsia="Times New Roman" w:hAnsi="Arial" w:cs="Arial"/>
          <w:sz w:val="24"/>
          <w:szCs w:val="24"/>
          <w:lang w:val="en-US"/>
        </w:rPr>
        <w:t>(</w:t>
      </w:r>
      <w:hyperlink r:id="rId11" w:history="1">
        <w:r>
          <w:rPr>
            <w:rStyle w:val="Hyperlink"/>
            <w:rFonts w:ascii="Arial" w:eastAsia="Times New Roman" w:hAnsi="Arial" w:cs="Arial"/>
            <w:sz w:val="24"/>
            <w:szCs w:val="24"/>
            <w:lang w:val="en-US"/>
          </w:rPr>
          <w:t>here</w:t>
        </w:r>
      </w:hyperlink>
      <w:r>
        <w:rPr>
          <w:rFonts w:ascii="Arial" w:eastAsia="Times New Roman" w:hAnsi="Arial" w:cs="Arial"/>
          <w:sz w:val="24"/>
          <w:szCs w:val="24"/>
          <w:lang w:val="en-US"/>
        </w:rPr>
        <w:t xml:space="preserve">) </w:t>
      </w:r>
      <w:r>
        <w:rPr>
          <w:rFonts w:ascii="Arial" w:eastAsia="Times New Roman" w:hAnsi="Arial" w:cs="Arial"/>
          <w:sz w:val="24"/>
          <w:szCs w:val="24"/>
        </w:rPr>
        <w:t>provides an overview of typical medication.</w:t>
      </w:r>
    </w:p>
    <w:p w14:paraId="28E34713" w14:textId="77777777" w:rsidR="00A20047" w:rsidRDefault="00A20047" w:rsidP="00A20047">
      <w:pPr>
        <w:numPr>
          <w:ilvl w:val="0"/>
          <w:numId w:val="1"/>
        </w:numPr>
        <w:spacing w:line="252" w:lineRule="auto"/>
        <w:ind w:left="357" w:hanging="357"/>
        <w:contextualSpacing/>
        <w:rPr>
          <w:rFonts w:ascii="Arial" w:hAnsi="Arial" w:cs="Arial"/>
          <w:color w:val="000000"/>
          <w:sz w:val="24"/>
          <w:szCs w:val="24"/>
        </w:rPr>
      </w:pPr>
      <w:r>
        <w:rPr>
          <w:rFonts w:ascii="Arial" w:hAnsi="Arial" w:cs="Arial"/>
          <w:sz w:val="24"/>
          <w:szCs w:val="24"/>
          <w:lang w:val="en-US"/>
        </w:rPr>
        <w:t xml:space="preserve">In the clinical assessment, a competent clinician needs to confirm if an individual meets the criteria for a third primary dose using the green book information (Chapter 14a, see Box: Criteria for a Third Primary Dose of COVID-19 Vaccine' </w:t>
      </w:r>
      <w:hyperlink r:id="rId12" w:history="1">
        <w:r>
          <w:rPr>
            <w:rStyle w:val="Hyperlink"/>
            <w:rFonts w:ascii="Arial" w:hAnsi="Arial" w:cs="Arial"/>
            <w:sz w:val="24"/>
            <w:szCs w:val="24"/>
            <w:lang w:val="en-US"/>
          </w:rPr>
          <w:t>https://www.gov.uk/government/publications/covid-19-the-green-book-chapter-14a</w:t>
        </w:r>
      </w:hyperlink>
      <w:r>
        <w:rPr>
          <w:rFonts w:ascii="Arial" w:hAnsi="Arial" w:cs="Arial"/>
          <w:sz w:val="24"/>
          <w:szCs w:val="24"/>
          <w:lang w:val="en-US"/>
        </w:rPr>
        <w:t xml:space="preserve"> and through obtaining further clinical information such as medication being taken. A clinical framework has been developed to support clinicians in their clinical assessment and inform the development of the pathway. The framework is available here: </w:t>
      </w:r>
      <w:hyperlink r:id="rId13" w:history="1">
        <w:r>
          <w:rPr>
            <w:rStyle w:val="Hyperlink"/>
            <w:rFonts w:ascii="Arial" w:hAnsi="Arial" w:cs="Arial"/>
            <w:sz w:val="24"/>
            <w:szCs w:val="24"/>
          </w:rPr>
          <w:t xml:space="preserve">Resources for immunosuppressed people - </w:t>
        </w:r>
        <w:proofErr w:type="spellStart"/>
        <w:r>
          <w:rPr>
            <w:rStyle w:val="Hyperlink"/>
            <w:rFonts w:ascii="Arial" w:hAnsi="Arial" w:cs="Arial"/>
            <w:sz w:val="24"/>
            <w:szCs w:val="24"/>
          </w:rPr>
          <w:t>CommsLink</w:t>
        </w:r>
        <w:proofErr w:type="spellEnd"/>
        <w:r>
          <w:rPr>
            <w:rStyle w:val="Hyperlink"/>
            <w:rFonts w:ascii="Arial" w:hAnsi="Arial" w:cs="Arial"/>
            <w:sz w:val="24"/>
            <w:szCs w:val="24"/>
          </w:rPr>
          <w:t xml:space="preserve"> - </w:t>
        </w:r>
        <w:proofErr w:type="spellStart"/>
        <w:r>
          <w:rPr>
            <w:rStyle w:val="Hyperlink"/>
            <w:rFonts w:ascii="Arial" w:hAnsi="Arial" w:cs="Arial"/>
            <w:sz w:val="24"/>
            <w:szCs w:val="24"/>
          </w:rPr>
          <w:t>FutureNHS</w:t>
        </w:r>
        <w:proofErr w:type="spellEnd"/>
        <w:r>
          <w:rPr>
            <w:rStyle w:val="Hyperlink"/>
            <w:rFonts w:ascii="Arial" w:hAnsi="Arial" w:cs="Arial"/>
            <w:sz w:val="24"/>
            <w:szCs w:val="24"/>
          </w:rPr>
          <w:t xml:space="preserve"> Collaboration Platform</w:t>
        </w:r>
      </w:hyperlink>
    </w:p>
    <w:p w14:paraId="322A7666" w14:textId="77777777" w:rsidR="00A20047" w:rsidRDefault="00A20047" w:rsidP="00A20047">
      <w:pPr>
        <w:numPr>
          <w:ilvl w:val="0"/>
          <w:numId w:val="1"/>
        </w:numPr>
        <w:spacing w:line="252" w:lineRule="auto"/>
        <w:ind w:left="357" w:hanging="357"/>
        <w:contextualSpacing/>
        <w:rPr>
          <w:rFonts w:ascii="Arial" w:hAnsi="Arial" w:cs="Arial"/>
          <w:color w:val="000000"/>
          <w:sz w:val="24"/>
          <w:szCs w:val="24"/>
        </w:rPr>
      </w:pPr>
      <w:r>
        <w:rPr>
          <w:rFonts w:ascii="Arial" w:hAnsi="Arial" w:cs="Arial"/>
          <w:sz w:val="24"/>
          <w:szCs w:val="24"/>
        </w:rPr>
        <w:t xml:space="preserve">A clinical escalation process is required to the senior clinician on site in the case that the treating registered health care professional is not competent to assess eligibility based on the medical evidence provided. </w:t>
      </w:r>
    </w:p>
    <w:p w14:paraId="220D005F" w14:textId="77777777" w:rsidR="00A20047" w:rsidRDefault="00A20047" w:rsidP="00A20047">
      <w:pPr>
        <w:numPr>
          <w:ilvl w:val="0"/>
          <w:numId w:val="1"/>
        </w:numPr>
        <w:spacing w:line="252" w:lineRule="auto"/>
        <w:ind w:left="357" w:hanging="357"/>
        <w:contextualSpacing/>
        <w:rPr>
          <w:rFonts w:ascii="Arial" w:hAnsi="Arial" w:cs="Arial"/>
          <w:color w:val="000000"/>
          <w:sz w:val="24"/>
          <w:szCs w:val="24"/>
        </w:rPr>
      </w:pPr>
      <w:r>
        <w:rPr>
          <w:rFonts w:ascii="Arial" w:hAnsi="Arial" w:cs="Arial"/>
          <w:sz w:val="24"/>
          <w:szCs w:val="24"/>
          <w:lang w:val="en-US"/>
        </w:rPr>
        <w:t xml:space="preserve">Where an assessment is made that an individual is eligible for a third dose, the </w:t>
      </w:r>
      <w:proofErr w:type="spellStart"/>
      <w:r>
        <w:rPr>
          <w:rFonts w:ascii="Arial" w:hAnsi="Arial" w:cs="Arial"/>
          <w:sz w:val="24"/>
          <w:szCs w:val="24"/>
          <w:lang w:val="en-US"/>
        </w:rPr>
        <w:t>authorising</w:t>
      </w:r>
      <w:proofErr w:type="spellEnd"/>
      <w:r>
        <w:rPr>
          <w:rFonts w:ascii="Arial" w:hAnsi="Arial" w:cs="Arial"/>
          <w:sz w:val="24"/>
          <w:szCs w:val="24"/>
          <w:lang w:val="en-US"/>
        </w:rPr>
        <w:t xml:space="preserve"> clinician should briefly record the rationale in the </w:t>
      </w:r>
      <w:proofErr w:type="spellStart"/>
      <w:r>
        <w:rPr>
          <w:rFonts w:ascii="Arial" w:hAnsi="Arial" w:cs="Arial"/>
          <w:sz w:val="24"/>
          <w:szCs w:val="24"/>
          <w:lang w:val="en-US"/>
        </w:rPr>
        <w:t>PoC</w:t>
      </w:r>
      <w:proofErr w:type="spellEnd"/>
      <w:r>
        <w:rPr>
          <w:rFonts w:ascii="Arial" w:hAnsi="Arial" w:cs="Arial"/>
          <w:sz w:val="24"/>
          <w:szCs w:val="24"/>
          <w:lang w:val="en-US"/>
        </w:rPr>
        <w:t xml:space="preserve"> System and administer the vaccine under the appropriate legal mechanism. NOTE: a third primary dose is </w:t>
      </w:r>
      <w:r>
        <w:rPr>
          <w:rFonts w:ascii="Arial" w:hAnsi="Arial" w:cs="Arial"/>
          <w:sz w:val="24"/>
          <w:szCs w:val="24"/>
        </w:rPr>
        <w:t>a full dose of Pfizer-BioNTech (</w:t>
      </w:r>
      <w:proofErr w:type="spellStart"/>
      <w:r>
        <w:rPr>
          <w:rFonts w:ascii="Arial" w:hAnsi="Arial" w:cs="Arial"/>
          <w:sz w:val="24"/>
          <w:szCs w:val="24"/>
        </w:rPr>
        <w:t>Comirnaty</w:t>
      </w:r>
      <w:proofErr w:type="spellEnd"/>
      <w:r>
        <w:rPr>
          <w:rFonts w:ascii="Arial" w:hAnsi="Arial" w:cs="Arial"/>
          <w:sz w:val="24"/>
          <w:szCs w:val="24"/>
        </w:rPr>
        <w:t xml:space="preserve"> ®) or a full dose of </w:t>
      </w:r>
      <w:proofErr w:type="spellStart"/>
      <w:r>
        <w:rPr>
          <w:rFonts w:ascii="Arial" w:hAnsi="Arial" w:cs="Arial"/>
          <w:sz w:val="24"/>
          <w:szCs w:val="24"/>
        </w:rPr>
        <w:t>Moderna</w:t>
      </w:r>
      <w:proofErr w:type="spellEnd"/>
      <w:r>
        <w:rPr>
          <w:rFonts w:ascii="Arial" w:hAnsi="Arial" w:cs="Arial"/>
          <w:sz w:val="24"/>
          <w:szCs w:val="24"/>
        </w:rPr>
        <w:t xml:space="preserve"> (</w:t>
      </w:r>
      <w:proofErr w:type="spellStart"/>
      <w:r>
        <w:rPr>
          <w:rFonts w:ascii="Arial" w:hAnsi="Arial" w:cs="Arial"/>
          <w:sz w:val="24"/>
          <w:szCs w:val="24"/>
        </w:rPr>
        <w:t>Spikevax</w:t>
      </w:r>
      <w:proofErr w:type="spellEnd"/>
      <w:r>
        <w:rPr>
          <w:rFonts w:ascii="Arial" w:hAnsi="Arial" w:cs="Arial"/>
          <w:sz w:val="24"/>
          <w:szCs w:val="24"/>
        </w:rPr>
        <w:t xml:space="preserve"> ®). For those aged 12 to 17 years, the </w:t>
      </w:r>
      <w:proofErr w:type="spellStart"/>
      <w:r>
        <w:rPr>
          <w:rFonts w:ascii="Arial" w:hAnsi="Arial" w:cs="Arial"/>
          <w:sz w:val="24"/>
          <w:szCs w:val="24"/>
        </w:rPr>
        <w:t>Comirnaty</w:t>
      </w:r>
      <w:proofErr w:type="spellEnd"/>
      <w:r>
        <w:rPr>
          <w:rFonts w:ascii="Arial" w:hAnsi="Arial" w:cs="Arial"/>
          <w:sz w:val="24"/>
          <w:szCs w:val="24"/>
        </w:rPr>
        <w:t xml:space="preserve"> (Pfizer-BioNTech) vaccine is preferred. The third primary dose of </w:t>
      </w:r>
      <w:proofErr w:type="spellStart"/>
      <w:r>
        <w:rPr>
          <w:rFonts w:ascii="Arial" w:hAnsi="Arial" w:cs="Arial"/>
          <w:sz w:val="24"/>
          <w:szCs w:val="24"/>
        </w:rPr>
        <w:t>Spikevax</w:t>
      </w:r>
      <w:proofErr w:type="spellEnd"/>
      <w:r>
        <w:rPr>
          <w:rFonts w:ascii="Arial" w:hAnsi="Arial" w:cs="Arial"/>
          <w:sz w:val="24"/>
          <w:szCs w:val="24"/>
        </w:rPr>
        <w:t xml:space="preserve"> (</w:t>
      </w:r>
      <w:proofErr w:type="spellStart"/>
      <w:r>
        <w:rPr>
          <w:rFonts w:ascii="Arial" w:hAnsi="Arial" w:cs="Arial"/>
          <w:sz w:val="24"/>
          <w:szCs w:val="24"/>
        </w:rPr>
        <w:t>Moderna</w:t>
      </w:r>
      <w:proofErr w:type="spellEnd"/>
      <w:r>
        <w:rPr>
          <w:rFonts w:ascii="Arial" w:hAnsi="Arial" w:cs="Arial"/>
          <w:sz w:val="24"/>
          <w:szCs w:val="24"/>
        </w:rPr>
        <w:t xml:space="preserve">) for patients with immunosuppression is different from the booster dose that is a half dose of </w:t>
      </w:r>
      <w:proofErr w:type="spellStart"/>
      <w:r>
        <w:rPr>
          <w:rFonts w:ascii="Arial" w:hAnsi="Arial" w:cs="Arial"/>
          <w:sz w:val="24"/>
          <w:szCs w:val="24"/>
        </w:rPr>
        <w:t>Spikevax</w:t>
      </w:r>
      <w:proofErr w:type="spellEnd"/>
      <w:r>
        <w:rPr>
          <w:rFonts w:ascii="Arial" w:hAnsi="Arial" w:cs="Arial"/>
          <w:sz w:val="24"/>
          <w:szCs w:val="24"/>
        </w:rPr>
        <w:t xml:space="preserve"> (</w:t>
      </w:r>
      <w:proofErr w:type="spellStart"/>
      <w:r>
        <w:rPr>
          <w:rFonts w:ascii="Arial" w:hAnsi="Arial" w:cs="Arial"/>
          <w:sz w:val="24"/>
          <w:szCs w:val="24"/>
        </w:rPr>
        <w:t>Moderna</w:t>
      </w:r>
      <w:proofErr w:type="spellEnd"/>
      <w:r>
        <w:rPr>
          <w:rFonts w:ascii="Arial" w:hAnsi="Arial" w:cs="Arial"/>
          <w:sz w:val="24"/>
          <w:szCs w:val="24"/>
        </w:rPr>
        <w:t>).</w:t>
      </w:r>
    </w:p>
    <w:p w14:paraId="67D403C4" w14:textId="77777777" w:rsidR="00A20047" w:rsidRDefault="00A20047" w:rsidP="00A20047">
      <w:pPr>
        <w:numPr>
          <w:ilvl w:val="0"/>
          <w:numId w:val="1"/>
        </w:numPr>
        <w:spacing w:line="252" w:lineRule="auto"/>
        <w:ind w:left="357" w:hanging="357"/>
        <w:contextualSpacing/>
        <w:rPr>
          <w:rFonts w:ascii="Arial" w:hAnsi="Arial" w:cs="Arial"/>
          <w:color w:val="000000"/>
          <w:sz w:val="24"/>
          <w:szCs w:val="24"/>
        </w:rPr>
      </w:pPr>
      <w:r>
        <w:rPr>
          <w:rFonts w:ascii="Arial" w:hAnsi="Arial" w:cs="Arial"/>
          <w:sz w:val="24"/>
          <w:szCs w:val="24"/>
          <w:lang w:val="en-US"/>
        </w:rPr>
        <w:t>In the event that the clinical assessment does not confirm or cannot determine an individual's eligibility for a third primary dose, please advise the individual to contact their GP or specialist to confirm whether they are part of the severely immunosuppressed group and eligible for additional doses. The clinical assessment framework (</w:t>
      </w:r>
      <w:hyperlink r:id="rId14" w:history="1">
        <w:r>
          <w:rPr>
            <w:rStyle w:val="Hyperlink"/>
            <w:rFonts w:ascii="Arial" w:hAnsi="Arial" w:cs="Arial"/>
            <w:sz w:val="24"/>
            <w:szCs w:val="24"/>
            <w:lang w:val="en-US"/>
          </w:rPr>
          <w:t>here</w:t>
        </w:r>
      </w:hyperlink>
      <w:r>
        <w:rPr>
          <w:rFonts w:ascii="Arial" w:hAnsi="Arial" w:cs="Arial"/>
          <w:sz w:val="24"/>
          <w:szCs w:val="24"/>
          <w:lang w:val="en-US"/>
        </w:rPr>
        <w:t>) contains a template letter from the vaccination site to the GP or specialist (Appendix F) to support this step.</w:t>
      </w:r>
    </w:p>
    <w:p w14:paraId="4BA16C71" w14:textId="77777777" w:rsidR="00A20047" w:rsidRDefault="00A20047" w:rsidP="00A20047">
      <w:pPr>
        <w:numPr>
          <w:ilvl w:val="0"/>
          <w:numId w:val="1"/>
        </w:numPr>
        <w:spacing w:line="252" w:lineRule="auto"/>
        <w:ind w:left="357" w:hanging="357"/>
        <w:contextualSpacing/>
        <w:rPr>
          <w:rFonts w:ascii="Arial" w:hAnsi="Arial" w:cs="Arial"/>
          <w:color w:val="000000"/>
          <w:sz w:val="24"/>
          <w:szCs w:val="24"/>
        </w:rPr>
      </w:pPr>
      <w:r>
        <w:rPr>
          <w:rFonts w:ascii="Arial" w:hAnsi="Arial" w:cs="Arial"/>
          <w:sz w:val="24"/>
          <w:szCs w:val="24"/>
          <w:lang w:val="en-US"/>
        </w:rPr>
        <w:t xml:space="preserve">The individual whose eligibility for a third primary dose cannot be determined on site may be eligible for a booster as an eligible member of a currently open JCVI cohort. This should be assessed before they leave the site, and an appropriate vaccine given. </w:t>
      </w:r>
    </w:p>
    <w:p w14:paraId="0AC9F6A8" w14:textId="77777777" w:rsidR="00A20047" w:rsidRDefault="00A20047" w:rsidP="00A20047">
      <w:pPr>
        <w:numPr>
          <w:ilvl w:val="0"/>
          <w:numId w:val="1"/>
        </w:numPr>
        <w:spacing w:line="252" w:lineRule="auto"/>
        <w:ind w:left="357" w:hanging="357"/>
        <w:contextualSpacing/>
        <w:rPr>
          <w:rFonts w:ascii="Arial" w:hAnsi="Arial" w:cs="Arial"/>
          <w:color w:val="000000"/>
          <w:sz w:val="24"/>
          <w:szCs w:val="24"/>
        </w:rPr>
      </w:pPr>
      <w:r>
        <w:rPr>
          <w:rFonts w:ascii="Arial" w:hAnsi="Arial" w:cs="Arial"/>
          <w:sz w:val="24"/>
          <w:szCs w:val="24"/>
        </w:rPr>
        <w:t>Th</w:t>
      </w:r>
      <w:r>
        <w:rPr>
          <w:rFonts w:ascii="Arial" w:hAnsi="Arial" w:cs="Arial"/>
          <w:sz w:val="24"/>
          <w:szCs w:val="24"/>
          <w:lang w:val="en-US"/>
        </w:rPr>
        <w:t>e decision and rationale to not provide a third primary dose is to be recorded in the Point of Care (</w:t>
      </w:r>
      <w:proofErr w:type="spellStart"/>
      <w:r>
        <w:rPr>
          <w:rFonts w:ascii="Arial" w:hAnsi="Arial" w:cs="Arial"/>
          <w:sz w:val="24"/>
          <w:szCs w:val="24"/>
          <w:lang w:val="en-US"/>
        </w:rPr>
        <w:t>PoC</w:t>
      </w:r>
      <w:proofErr w:type="spellEnd"/>
      <w:r>
        <w:rPr>
          <w:rFonts w:ascii="Arial" w:hAnsi="Arial" w:cs="Arial"/>
          <w:sz w:val="24"/>
          <w:szCs w:val="24"/>
          <w:lang w:val="en-US"/>
        </w:rPr>
        <w:t xml:space="preserve">) System. </w:t>
      </w:r>
    </w:p>
    <w:p w14:paraId="01084913" w14:textId="77777777" w:rsidR="00A20047" w:rsidRDefault="00A20047" w:rsidP="00A20047">
      <w:pPr>
        <w:spacing w:after="120" w:line="252" w:lineRule="auto"/>
        <w:rPr>
          <w:rFonts w:ascii="Arial" w:hAnsi="Arial" w:cs="Arial"/>
          <w:sz w:val="24"/>
          <w:szCs w:val="24"/>
          <w:u w:val="single"/>
        </w:rPr>
      </w:pPr>
    </w:p>
    <w:p w14:paraId="35E820AA" w14:textId="77777777" w:rsidR="00A20047" w:rsidRDefault="00A20047" w:rsidP="00A20047">
      <w:pPr>
        <w:spacing w:after="120" w:line="252" w:lineRule="auto"/>
        <w:rPr>
          <w:rFonts w:ascii="Arial" w:hAnsi="Arial" w:cs="Arial"/>
          <w:sz w:val="24"/>
          <w:szCs w:val="24"/>
          <w:u w:val="single"/>
          <w:lang w:val="en-US"/>
        </w:rPr>
      </w:pPr>
      <w:r>
        <w:rPr>
          <w:rFonts w:ascii="Arial" w:hAnsi="Arial" w:cs="Arial"/>
          <w:sz w:val="24"/>
          <w:szCs w:val="24"/>
          <w:u w:val="single"/>
          <w:lang w:val="en-US"/>
        </w:rPr>
        <w:t xml:space="preserve">Clinical assessment - individuals presenting for their booster dose with a referral letter </w:t>
      </w:r>
      <w:r>
        <w:rPr>
          <w:rFonts w:ascii="Arial" w:hAnsi="Arial" w:cs="Arial"/>
          <w:sz w:val="24"/>
          <w:szCs w:val="24"/>
          <w:u w:val="single"/>
        </w:rPr>
        <w:t>confirming third primary dose eligibility</w:t>
      </w:r>
      <w:r>
        <w:rPr>
          <w:rFonts w:ascii="Arial" w:hAnsi="Arial" w:cs="Arial"/>
          <w:sz w:val="24"/>
          <w:szCs w:val="24"/>
          <w:u w:val="single"/>
          <w:lang w:val="en-US"/>
        </w:rPr>
        <w:t xml:space="preserve">: </w:t>
      </w:r>
    </w:p>
    <w:p w14:paraId="2539ED88" w14:textId="77777777" w:rsidR="00A20047" w:rsidRDefault="00A20047" w:rsidP="00A20047">
      <w:pPr>
        <w:numPr>
          <w:ilvl w:val="0"/>
          <w:numId w:val="5"/>
        </w:numPr>
        <w:spacing w:line="252" w:lineRule="auto"/>
        <w:ind w:left="714" w:hanging="357"/>
        <w:contextualSpacing/>
        <w:rPr>
          <w:rFonts w:ascii="Arial" w:hAnsi="Arial" w:cs="Arial"/>
          <w:sz w:val="24"/>
          <w:szCs w:val="24"/>
          <w:lang w:val="en-US"/>
        </w:rPr>
      </w:pPr>
      <w:r>
        <w:rPr>
          <w:rFonts w:ascii="Arial" w:hAnsi="Arial" w:cs="Arial"/>
          <w:sz w:val="24"/>
          <w:szCs w:val="24"/>
        </w:rPr>
        <w:t xml:space="preserve">A GP or specialist referral letter confirming third primary dose eligibility is sufficient evidence to confirm eligibility for a booster (fourth dose), however, clinical assessment is required to ensure optimal </w:t>
      </w:r>
      <w:r>
        <w:rPr>
          <w:rFonts w:ascii="Arial" w:hAnsi="Arial" w:cs="Arial"/>
          <w:sz w:val="24"/>
          <w:szCs w:val="24"/>
          <w:u w:val="single"/>
        </w:rPr>
        <w:t>timing</w:t>
      </w:r>
      <w:r>
        <w:rPr>
          <w:rFonts w:ascii="Arial" w:hAnsi="Arial" w:cs="Arial"/>
          <w:sz w:val="24"/>
          <w:szCs w:val="24"/>
        </w:rPr>
        <w:t>.</w:t>
      </w:r>
    </w:p>
    <w:p w14:paraId="3A5A3C32" w14:textId="77777777" w:rsidR="00A20047" w:rsidRDefault="00A20047" w:rsidP="00A20047">
      <w:pPr>
        <w:numPr>
          <w:ilvl w:val="0"/>
          <w:numId w:val="5"/>
        </w:numPr>
        <w:spacing w:line="252" w:lineRule="auto"/>
        <w:ind w:left="714" w:hanging="357"/>
        <w:contextualSpacing/>
        <w:rPr>
          <w:rFonts w:ascii="Arial" w:hAnsi="Arial" w:cs="Arial"/>
          <w:sz w:val="24"/>
          <w:szCs w:val="24"/>
          <w:lang w:val="en-US"/>
        </w:rPr>
      </w:pPr>
      <w:r>
        <w:rPr>
          <w:rFonts w:ascii="Arial" w:hAnsi="Arial" w:cs="Arial"/>
          <w:sz w:val="24"/>
          <w:szCs w:val="24"/>
          <w:lang w:val="en-US"/>
        </w:rPr>
        <w:t xml:space="preserve">The information of the referral letter together with the </w:t>
      </w:r>
      <w:r>
        <w:rPr>
          <w:rFonts w:ascii="Arial" w:hAnsi="Arial" w:cs="Arial"/>
          <w:i/>
          <w:iCs/>
          <w:sz w:val="24"/>
          <w:szCs w:val="24"/>
          <w:lang w:val="en-US"/>
        </w:rPr>
        <w:t xml:space="preserve">clinical framework for assessing patients presenting for additional COVID-19 vaccine doses due to immunosuppression </w:t>
      </w:r>
      <w:r>
        <w:rPr>
          <w:rFonts w:ascii="Arial" w:hAnsi="Arial" w:cs="Arial"/>
          <w:sz w:val="24"/>
          <w:szCs w:val="24"/>
          <w:lang w:val="en-US"/>
        </w:rPr>
        <w:t>(</w:t>
      </w:r>
      <w:hyperlink r:id="rId15" w:history="1">
        <w:r>
          <w:rPr>
            <w:rStyle w:val="Hyperlink"/>
            <w:rFonts w:ascii="Arial" w:hAnsi="Arial" w:cs="Arial"/>
            <w:sz w:val="24"/>
            <w:szCs w:val="24"/>
            <w:lang w:val="en-US"/>
          </w:rPr>
          <w:t>here</w:t>
        </w:r>
      </w:hyperlink>
      <w:r>
        <w:rPr>
          <w:rFonts w:ascii="Arial" w:hAnsi="Arial" w:cs="Arial"/>
          <w:sz w:val="24"/>
          <w:szCs w:val="24"/>
          <w:lang w:val="en-US"/>
        </w:rPr>
        <w:t xml:space="preserve">) should support clinicians in their clinical assessment to determine optimal timing of a booster. </w:t>
      </w:r>
    </w:p>
    <w:p w14:paraId="32C41013" w14:textId="77777777" w:rsidR="00A20047" w:rsidRDefault="00A20047" w:rsidP="00A20047">
      <w:pPr>
        <w:numPr>
          <w:ilvl w:val="0"/>
          <w:numId w:val="5"/>
        </w:numPr>
        <w:spacing w:line="252" w:lineRule="auto"/>
        <w:ind w:left="714" w:hanging="357"/>
        <w:contextualSpacing/>
        <w:rPr>
          <w:rFonts w:ascii="Arial" w:hAnsi="Arial" w:cs="Arial"/>
          <w:sz w:val="24"/>
          <w:szCs w:val="24"/>
          <w:lang w:val="en-US"/>
        </w:rPr>
      </w:pPr>
      <w:r>
        <w:rPr>
          <w:rFonts w:ascii="Arial" w:hAnsi="Arial" w:cs="Arial"/>
          <w:sz w:val="24"/>
          <w:szCs w:val="24"/>
        </w:rPr>
        <w:t>A clinical escalation to the senior clinician on site should be considered in the case that the treating registered health care professional is not competent to assess the optimal timing based on the referral letter.</w:t>
      </w:r>
    </w:p>
    <w:p w14:paraId="26A96E70" w14:textId="77777777" w:rsidR="00A20047" w:rsidRPr="00526289" w:rsidRDefault="00A20047" w:rsidP="00A20047">
      <w:pPr>
        <w:numPr>
          <w:ilvl w:val="0"/>
          <w:numId w:val="5"/>
        </w:numPr>
        <w:spacing w:after="120" w:line="252" w:lineRule="auto"/>
        <w:ind w:left="714" w:hanging="357"/>
        <w:contextualSpacing/>
        <w:rPr>
          <w:rFonts w:ascii="Arial" w:hAnsi="Arial" w:cs="Arial"/>
          <w:b/>
          <w:bCs/>
          <w:color w:val="000000"/>
          <w:sz w:val="24"/>
          <w:szCs w:val="24"/>
        </w:rPr>
      </w:pPr>
      <w:r w:rsidRPr="00526289">
        <w:rPr>
          <w:rFonts w:ascii="Arial" w:hAnsi="Arial" w:cs="Arial"/>
          <w:sz w:val="24"/>
          <w:szCs w:val="24"/>
          <w:lang w:val="en-US"/>
        </w:rPr>
        <w:t xml:space="preserve">If the senior clinician on site cannot determine the optimal timing based on the information in the GP or specialist referral letter, please advise the individual to contact their GP or specialist with guidance that further detail is required to administer the booster in the appropriate interval. </w:t>
      </w:r>
    </w:p>
    <w:p w14:paraId="4CFE87BE" w14:textId="77777777" w:rsidR="00A20047" w:rsidRPr="00526289" w:rsidRDefault="00A20047" w:rsidP="00A20047">
      <w:pPr>
        <w:numPr>
          <w:ilvl w:val="0"/>
          <w:numId w:val="5"/>
        </w:numPr>
        <w:spacing w:after="120" w:line="252" w:lineRule="auto"/>
        <w:ind w:left="714" w:hanging="357"/>
        <w:contextualSpacing/>
        <w:rPr>
          <w:rFonts w:ascii="Arial" w:hAnsi="Arial" w:cs="Arial"/>
          <w:b/>
          <w:bCs/>
          <w:color w:val="000000"/>
          <w:sz w:val="24"/>
          <w:szCs w:val="24"/>
        </w:rPr>
      </w:pPr>
    </w:p>
    <w:p w14:paraId="5BAA61AF" w14:textId="77777777" w:rsidR="00A20047" w:rsidRPr="00526289" w:rsidRDefault="00A20047" w:rsidP="00A20047">
      <w:pPr>
        <w:spacing w:after="120" w:line="252" w:lineRule="auto"/>
        <w:rPr>
          <w:rFonts w:ascii="Arial" w:hAnsi="Arial" w:cs="Arial"/>
          <w:b/>
          <w:bCs/>
          <w:color w:val="000000"/>
        </w:rPr>
      </w:pPr>
      <w:r w:rsidRPr="00526289">
        <w:rPr>
          <w:rFonts w:ascii="Arial" w:hAnsi="Arial" w:cs="Arial"/>
          <w:b/>
          <w:bCs/>
          <w:color w:val="000000"/>
        </w:rPr>
        <w:t>IMMEDIATE ACTIONS</w:t>
      </w:r>
    </w:p>
    <w:p w14:paraId="3272525D" w14:textId="77777777" w:rsidR="00A20047" w:rsidRDefault="00A20047" w:rsidP="00A20047">
      <w:pPr>
        <w:spacing w:after="120" w:line="252" w:lineRule="auto"/>
        <w:rPr>
          <w:rFonts w:ascii="Arial" w:hAnsi="Arial" w:cs="Arial"/>
          <w:b/>
          <w:bCs/>
          <w:sz w:val="24"/>
          <w:szCs w:val="24"/>
        </w:rPr>
      </w:pPr>
      <w:r>
        <w:rPr>
          <w:rFonts w:ascii="Arial" w:hAnsi="Arial" w:cs="Arial"/>
          <w:b/>
          <w:bCs/>
          <w:sz w:val="24"/>
          <w:szCs w:val="24"/>
        </w:rPr>
        <w:t xml:space="preserve">Site requirements </w:t>
      </w:r>
    </w:p>
    <w:p w14:paraId="66CE80D1" w14:textId="77777777" w:rsidR="00A20047" w:rsidRDefault="00A20047" w:rsidP="00A20047">
      <w:pPr>
        <w:numPr>
          <w:ilvl w:val="0"/>
          <w:numId w:val="6"/>
        </w:numPr>
        <w:spacing w:line="252" w:lineRule="auto"/>
        <w:ind w:left="357" w:hanging="357"/>
        <w:contextualSpacing/>
        <w:rPr>
          <w:rFonts w:ascii="Arial" w:hAnsi="Arial" w:cs="Arial"/>
          <w:sz w:val="24"/>
          <w:szCs w:val="24"/>
          <w:lang w:val="en-US" w:eastAsia="en-US"/>
        </w:rPr>
      </w:pPr>
      <w:r>
        <w:rPr>
          <w:rFonts w:ascii="Arial" w:hAnsi="Arial" w:cs="Arial"/>
          <w:sz w:val="24"/>
          <w:szCs w:val="24"/>
          <w:lang w:val="en-US"/>
        </w:rPr>
        <w:t xml:space="preserve">With immediate effect, sites offering walk-in clinics are asked to review their profile on the website to find a walk-in coronavirus (COVID-19) vaccination clinic and update, where appropriate, third primary dose availability. This indicates a clinician is on site to undertake the required assessment on third dose eligibility and the clinical assessment on timing of the booster for individuals presenting with a letter from their GP or specialist outlining eligibility and timing for the third primary dose. </w:t>
      </w:r>
    </w:p>
    <w:p w14:paraId="1B30B343" w14:textId="77777777" w:rsidR="00A20047" w:rsidRDefault="00A20047" w:rsidP="00A20047">
      <w:pPr>
        <w:numPr>
          <w:ilvl w:val="0"/>
          <w:numId w:val="7"/>
        </w:numPr>
        <w:spacing w:line="252" w:lineRule="auto"/>
        <w:ind w:left="357" w:hanging="357"/>
        <w:contextualSpacing/>
        <w:jc w:val="both"/>
        <w:rPr>
          <w:rFonts w:ascii="Arial" w:hAnsi="Arial" w:cs="Arial"/>
          <w:sz w:val="24"/>
          <w:szCs w:val="24"/>
          <w:lang w:val="en-US"/>
        </w:rPr>
      </w:pPr>
      <w:r>
        <w:rPr>
          <w:rFonts w:ascii="Arial" w:hAnsi="Arial" w:cs="Arial"/>
          <w:sz w:val="24"/>
          <w:szCs w:val="24"/>
          <w:lang w:val="en-US"/>
        </w:rPr>
        <w:t>The administration of the third primary dose and booster must be undertaken in accordance with the requirements of the PSD, PGD or national protocol legal prescribing tools. For the booster the third dose referral letter is sufficient evidence to meet requirements under the NP and PGD.</w:t>
      </w:r>
    </w:p>
    <w:p w14:paraId="3659C2F1" w14:textId="77777777" w:rsidR="00A20047" w:rsidRDefault="00A20047" w:rsidP="00A20047">
      <w:pPr>
        <w:spacing w:after="120" w:line="252" w:lineRule="auto"/>
        <w:rPr>
          <w:rFonts w:ascii="Arial" w:hAnsi="Arial" w:cs="Arial"/>
          <w:b/>
          <w:bCs/>
          <w:color w:val="000000"/>
          <w:sz w:val="24"/>
          <w:szCs w:val="24"/>
          <w:u w:val="single"/>
        </w:rPr>
      </w:pPr>
    </w:p>
    <w:p w14:paraId="2C987AD5" w14:textId="77777777" w:rsidR="00A20047" w:rsidRDefault="00A20047" w:rsidP="00A20047">
      <w:pPr>
        <w:spacing w:after="120" w:line="252" w:lineRule="auto"/>
        <w:rPr>
          <w:rFonts w:ascii="Arial" w:hAnsi="Arial" w:cs="Arial"/>
          <w:b/>
          <w:bCs/>
          <w:color w:val="000000"/>
          <w:sz w:val="24"/>
          <w:szCs w:val="24"/>
          <w:u w:val="single"/>
        </w:rPr>
      </w:pPr>
      <w:r>
        <w:rPr>
          <w:rFonts w:ascii="Arial" w:hAnsi="Arial" w:cs="Arial"/>
          <w:b/>
          <w:bCs/>
          <w:color w:val="000000"/>
          <w:sz w:val="24"/>
          <w:szCs w:val="24"/>
          <w:u w:val="single"/>
        </w:rPr>
        <w:t xml:space="preserve">On-site processes </w:t>
      </w:r>
    </w:p>
    <w:p w14:paraId="70AD0AB4" w14:textId="77777777" w:rsidR="00A20047" w:rsidRDefault="00A20047" w:rsidP="00A20047">
      <w:pPr>
        <w:numPr>
          <w:ilvl w:val="0"/>
          <w:numId w:val="8"/>
        </w:numPr>
        <w:spacing w:line="252" w:lineRule="auto"/>
        <w:contextualSpacing/>
        <w:rPr>
          <w:rFonts w:ascii="Arial" w:eastAsia="Times New Roman" w:hAnsi="Arial" w:cs="Arial"/>
          <w:sz w:val="24"/>
          <w:szCs w:val="24"/>
          <w:lang w:val="en-US"/>
        </w:rPr>
      </w:pPr>
      <w:r>
        <w:rPr>
          <w:rFonts w:ascii="Arial" w:eastAsia="Times New Roman" w:hAnsi="Arial" w:cs="Arial"/>
          <w:sz w:val="24"/>
          <w:szCs w:val="24"/>
          <w:lang w:val="en-US"/>
        </w:rPr>
        <w:t xml:space="preserve">The following steps will need to be in place with immediate effect: </w:t>
      </w:r>
    </w:p>
    <w:p w14:paraId="3980869D" w14:textId="77777777" w:rsidR="00A20047" w:rsidRDefault="00A20047" w:rsidP="00A20047">
      <w:pPr>
        <w:numPr>
          <w:ilvl w:val="1"/>
          <w:numId w:val="9"/>
        </w:numPr>
        <w:spacing w:line="252" w:lineRule="auto"/>
        <w:ind w:left="313" w:hanging="283"/>
        <w:contextualSpacing/>
        <w:rPr>
          <w:rFonts w:ascii="Arial" w:hAnsi="Arial" w:cs="Arial"/>
          <w:sz w:val="24"/>
          <w:szCs w:val="24"/>
          <w:lang w:val="en-US"/>
        </w:rPr>
      </w:pPr>
      <w:r>
        <w:rPr>
          <w:rFonts w:ascii="Arial" w:hAnsi="Arial" w:cs="Arial"/>
          <w:sz w:val="24"/>
          <w:szCs w:val="24"/>
          <w:u w:val="single"/>
          <w:lang w:val="en-US"/>
        </w:rPr>
        <w:t>Queue management</w:t>
      </w:r>
      <w:r>
        <w:rPr>
          <w:rFonts w:ascii="Arial" w:hAnsi="Arial" w:cs="Arial"/>
          <w:sz w:val="24"/>
          <w:szCs w:val="24"/>
          <w:lang w:val="en-US"/>
        </w:rPr>
        <w:t>: all sites are asked to consider how to best support clinically vulnerable such as severely immunosuppressed people for example via enabling access to a priority or fast-track lane.</w:t>
      </w:r>
    </w:p>
    <w:p w14:paraId="12B90C2E" w14:textId="77777777" w:rsidR="00A20047" w:rsidRDefault="00A20047" w:rsidP="00A20047">
      <w:pPr>
        <w:numPr>
          <w:ilvl w:val="0"/>
          <w:numId w:val="10"/>
        </w:numPr>
        <w:spacing w:after="120" w:line="252" w:lineRule="auto"/>
        <w:ind w:left="324"/>
        <w:rPr>
          <w:rFonts w:ascii="Arial" w:hAnsi="Arial" w:cs="Arial"/>
          <w:sz w:val="24"/>
          <w:szCs w:val="24"/>
        </w:rPr>
      </w:pPr>
      <w:bookmarkStart w:id="0" w:name="_Hlk90314597"/>
      <w:r>
        <w:rPr>
          <w:rFonts w:ascii="Arial" w:hAnsi="Arial" w:cs="Arial"/>
          <w:sz w:val="24"/>
          <w:szCs w:val="24"/>
          <w:u w:val="single"/>
        </w:rPr>
        <w:t>At arrival/check-in</w:t>
      </w:r>
      <w:r>
        <w:rPr>
          <w:rFonts w:ascii="Arial" w:hAnsi="Arial" w:cs="Arial"/>
          <w:sz w:val="24"/>
          <w:szCs w:val="24"/>
        </w:rPr>
        <w:t xml:space="preserve">: </w:t>
      </w:r>
    </w:p>
    <w:p w14:paraId="6014FDB3" w14:textId="77777777" w:rsidR="00A20047" w:rsidRDefault="00A20047" w:rsidP="00A20047">
      <w:pPr>
        <w:numPr>
          <w:ilvl w:val="0"/>
          <w:numId w:val="11"/>
        </w:numPr>
        <w:spacing w:after="120" w:line="252" w:lineRule="auto"/>
        <w:rPr>
          <w:rFonts w:ascii="Arial" w:eastAsia="Times New Roman" w:hAnsi="Arial" w:cs="Arial"/>
          <w:sz w:val="24"/>
          <w:szCs w:val="24"/>
        </w:rPr>
      </w:pPr>
      <w:r>
        <w:rPr>
          <w:rFonts w:ascii="Arial" w:eastAsia="Times New Roman" w:hAnsi="Arial" w:cs="Arial"/>
          <w:sz w:val="24"/>
          <w:szCs w:val="24"/>
          <w:u w:val="single"/>
        </w:rPr>
        <w:t>For the third primary dose</w:t>
      </w:r>
      <w:r>
        <w:rPr>
          <w:rFonts w:ascii="Arial" w:eastAsia="Times New Roman" w:hAnsi="Arial" w:cs="Arial"/>
          <w:sz w:val="24"/>
          <w:szCs w:val="24"/>
        </w:rPr>
        <w:t xml:space="preserve">, </w:t>
      </w:r>
    </w:p>
    <w:p w14:paraId="2055B6B0" w14:textId="77777777" w:rsidR="00A20047" w:rsidRDefault="00A20047" w:rsidP="00A20047">
      <w:pPr>
        <w:spacing w:after="120" w:line="252" w:lineRule="auto"/>
        <w:ind w:left="720"/>
        <w:rPr>
          <w:rFonts w:ascii="Arial" w:hAnsi="Arial" w:cs="Arial"/>
          <w:sz w:val="24"/>
          <w:szCs w:val="24"/>
        </w:rPr>
      </w:pPr>
      <w:r>
        <w:rPr>
          <w:rFonts w:ascii="Arial" w:hAnsi="Arial" w:cs="Arial"/>
          <w:sz w:val="24"/>
          <w:szCs w:val="24"/>
        </w:rPr>
        <w:t xml:space="preserve">If the individual has a GP or specialist referral letter, this is sufficient evidence to administer this dose. </w:t>
      </w:r>
    </w:p>
    <w:p w14:paraId="134E3EAE" w14:textId="77777777" w:rsidR="00A20047" w:rsidRDefault="00A20047" w:rsidP="00A20047">
      <w:pPr>
        <w:spacing w:after="120" w:line="252" w:lineRule="auto"/>
        <w:ind w:left="720"/>
        <w:rPr>
          <w:rFonts w:ascii="Arial" w:hAnsi="Arial" w:cs="Arial"/>
          <w:sz w:val="24"/>
          <w:szCs w:val="24"/>
        </w:rPr>
      </w:pPr>
      <w:r>
        <w:rPr>
          <w:rFonts w:ascii="Arial" w:hAnsi="Arial" w:cs="Arial"/>
          <w:sz w:val="24"/>
          <w:szCs w:val="24"/>
        </w:rPr>
        <w:t xml:space="preserve">If the individual presents with relevant medical evidence (but without a referral letter), they should be directed to be seen by a competent clinician who can assess eligibility for a third primary dose. </w:t>
      </w:r>
    </w:p>
    <w:p w14:paraId="3BC74A4A" w14:textId="77777777" w:rsidR="00A20047" w:rsidRDefault="00A20047" w:rsidP="00A20047">
      <w:pPr>
        <w:numPr>
          <w:ilvl w:val="0"/>
          <w:numId w:val="11"/>
        </w:numPr>
        <w:spacing w:after="120" w:line="252" w:lineRule="auto"/>
        <w:rPr>
          <w:rFonts w:ascii="Arial" w:eastAsia="Times New Roman" w:hAnsi="Arial" w:cs="Arial"/>
          <w:sz w:val="24"/>
          <w:szCs w:val="24"/>
        </w:rPr>
      </w:pPr>
      <w:r>
        <w:rPr>
          <w:rFonts w:ascii="Arial" w:eastAsia="Times New Roman" w:hAnsi="Arial" w:cs="Arial"/>
          <w:sz w:val="24"/>
          <w:szCs w:val="24"/>
          <w:u w:val="single"/>
        </w:rPr>
        <w:t>For the booster dose</w:t>
      </w:r>
      <w:r>
        <w:rPr>
          <w:rFonts w:ascii="Arial" w:eastAsia="Times New Roman" w:hAnsi="Arial" w:cs="Arial"/>
          <w:sz w:val="24"/>
          <w:szCs w:val="24"/>
        </w:rPr>
        <w:t>,</w:t>
      </w:r>
    </w:p>
    <w:p w14:paraId="6779D1BF" w14:textId="77777777" w:rsidR="00A20047" w:rsidRDefault="00A20047" w:rsidP="00A20047">
      <w:pPr>
        <w:spacing w:after="120" w:line="252" w:lineRule="auto"/>
        <w:ind w:left="720"/>
        <w:rPr>
          <w:rFonts w:ascii="Arial" w:hAnsi="Arial" w:cs="Arial"/>
          <w:sz w:val="24"/>
          <w:szCs w:val="24"/>
        </w:rPr>
      </w:pPr>
      <w:r>
        <w:rPr>
          <w:rFonts w:ascii="Arial" w:hAnsi="Arial" w:cs="Arial"/>
          <w:sz w:val="24"/>
          <w:szCs w:val="24"/>
        </w:rPr>
        <w:t xml:space="preserve">if the individual presents a referral letter confirming third primary dose eligibility, this is sufficient evidence to confirm </w:t>
      </w:r>
      <w:r>
        <w:rPr>
          <w:rFonts w:ascii="Arial" w:hAnsi="Arial" w:cs="Arial"/>
          <w:sz w:val="24"/>
          <w:szCs w:val="24"/>
          <w:u w:val="single"/>
        </w:rPr>
        <w:t>eligibility</w:t>
      </w:r>
      <w:r>
        <w:rPr>
          <w:rFonts w:ascii="Arial" w:hAnsi="Arial" w:cs="Arial"/>
          <w:sz w:val="24"/>
          <w:szCs w:val="24"/>
        </w:rPr>
        <w:t xml:space="preserve"> for booster (fourth dose), however, a clinical assessment is still required to ensure optimal timing.</w:t>
      </w:r>
    </w:p>
    <w:bookmarkEnd w:id="0"/>
    <w:p w14:paraId="4770768F" w14:textId="77777777" w:rsidR="00A20047" w:rsidRDefault="00A20047" w:rsidP="00A20047">
      <w:pPr>
        <w:numPr>
          <w:ilvl w:val="0"/>
          <w:numId w:val="12"/>
        </w:numPr>
        <w:spacing w:line="252" w:lineRule="auto"/>
        <w:ind w:left="714" w:hanging="357"/>
        <w:contextualSpacing/>
        <w:rPr>
          <w:rFonts w:ascii="Arial" w:hAnsi="Arial" w:cs="Arial"/>
          <w:sz w:val="24"/>
          <w:szCs w:val="24"/>
          <w:lang w:val="en-US"/>
        </w:rPr>
      </w:pPr>
      <w:r>
        <w:rPr>
          <w:rFonts w:ascii="Arial" w:hAnsi="Arial" w:cs="Arial"/>
          <w:sz w:val="24"/>
          <w:szCs w:val="24"/>
          <w:u w:val="single"/>
          <w:lang w:val="en-US"/>
        </w:rPr>
        <w:t xml:space="preserve">Clinical assessment step: </w:t>
      </w:r>
      <w:r>
        <w:rPr>
          <w:rFonts w:ascii="Arial" w:hAnsi="Arial" w:cs="Arial"/>
          <w:sz w:val="24"/>
          <w:szCs w:val="24"/>
          <w:lang w:val="en-US"/>
        </w:rPr>
        <w:t>as outlined above and supported by the clinical assessment framework.</w:t>
      </w:r>
    </w:p>
    <w:p w14:paraId="4081348D" w14:textId="77777777" w:rsidR="00A20047" w:rsidRDefault="00A20047" w:rsidP="00A20047">
      <w:pPr>
        <w:numPr>
          <w:ilvl w:val="0"/>
          <w:numId w:val="12"/>
        </w:numPr>
        <w:spacing w:line="252" w:lineRule="auto"/>
        <w:ind w:left="714" w:hanging="357"/>
        <w:contextualSpacing/>
        <w:rPr>
          <w:rFonts w:ascii="Arial" w:hAnsi="Arial" w:cs="Arial"/>
          <w:sz w:val="24"/>
          <w:szCs w:val="24"/>
        </w:rPr>
      </w:pPr>
      <w:r>
        <w:rPr>
          <w:rFonts w:ascii="Arial" w:hAnsi="Arial" w:cs="Arial"/>
          <w:sz w:val="24"/>
          <w:szCs w:val="24"/>
          <w:u w:val="single"/>
        </w:rPr>
        <w:t>Recording of additional COVID-19 vaccine doses</w:t>
      </w:r>
      <w:r>
        <w:rPr>
          <w:rFonts w:ascii="Arial" w:hAnsi="Arial" w:cs="Arial"/>
          <w:sz w:val="24"/>
          <w:szCs w:val="24"/>
        </w:rPr>
        <w:t xml:space="preserve">: For severely immunosuppressed individuals, the third primary dose is to be recorded as a booster dose, and the booster dose is to be recorded as a 'second' booster in the </w:t>
      </w:r>
      <w:proofErr w:type="spellStart"/>
      <w:r>
        <w:rPr>
          <w:rFonts w:ascii="Arial" w:hAnsi="Arial" w:cs="Arial"/>
          <w:sz w:val="24"/>
          <w:szCs w:val="24"/>
        </w:rPr>
        <w:t>PoC</w:t>
      </w:r>
      <w:proofErr w:type="spellEnd"/>
      <w:r>
        <w:rPr>
          <w:rFonts w:ascii="Arial" w:hAnsi="Arial" w:cs="Arial"/>
          <w:sz w:val="24"/>
          <w:szCs w:val="24"/>
        </w:rPr>
        <w:t xml:space="preserve"> system. The decision to administer a third dose or booster dose has to be recorded in the POC by the authorising clinician. PCN and Community Pharmacy-led sites should select the ‘other residential settings’ setting to ensure additional supplementary payments can be applied.</w:t>
      </w:r>
    </w:p>
    <w:p w14:paraId="37C9CE94" w14:textId="77777777" w:rsidR="00A20047" w:rsidRDefault="00A20047" w:rsidP="00A20047">
      <w:pPr>
        <w:spacing w:before="40" w:after="40" w:line="252" w:lineRule="auto"/>
        <w:rPr>
          <w:rFonts w:ascii="Arial" w:hAnsi="Arial" w:cs="Arial"/>
          <w:sz w:val="24"/>
          <w:szCs w:val="24"/>
        </w:rPr>
      </w:pPr>
    </w:p>
    <w:p w14:paraId="5406D6EF" w14:textId="77777777" w:rsidR="00A20047" w:rsidRDefault="00A20047" w:rsidP="00A20047">
      <w:pPr>
        <w:spacing w:before="40" w:after="40" w:line="252" w:lineRule="auto"/>
        <w:rPr>
          <w:rFonts w:ascii="Arial" w:hAnsi="Arial" w:cs="Arial"/>
          <w:sz w:val="24"/>
          <w:szCs w:val="24"/>
        </w:rPr>
      </w:pPr>
      <w:r>
        <w:rPr>
          <w:rFonts w:ascii="Arial" w:hAnsi="Arial" w:cs="Arial"/>
          <w:sz w:val="24"/>
          <w:szCs w:val="24"/>
        </w:rPr>
        <w:t xml:space="preserve">If you have any </w:t>
      </w:r>
      <w:proofErr w:type="gramStart"/>
      <w:r>
        <w:rPr>
          <w:rFonts w:ascii="Arial" w:hAnsi="Arial" w:cs="Arial"/>
          <w:sz w:val="24"/>
          <w:szCs w:val="24"/>
        </w:rPr>
        <w:t>questions</w:t>
      </w:r>
      <w:proofErr w:type="gramEnd"/>
      <w:r>
        <w:rPr>
          <w:rFonts w:ascii="Arial" w:hAnsi="Arial" w:cs="Arial"/>
          <w:sz w:val="24"/>
          <w:szCs w:val="24"/>
        </w:rPr>
        <w:t xml:space="preserve"> please contact </w:t>
      </w:r>
      <w:hyperlink r:id="rId16" w:tgtFrame="_blank" w:history="1">
        <w:r>
          <w:rPr>
            <w:rStyle w:val="Hyperlink"/>
            <w:rFonts w:ascii="Arial" w:hAnsi="Arial" w:cs="Arial"/>
            <w:sz w:val="24"/>
            <w:szCs w:val="24"/>
          </w:rPr>
          <w:t>england.vaccinecentresgroupsupport@nhs.net</w:t>
        </w:r>
      </w:hyperlink>
      <w:r>
        <w:rPr>
          <w:rFonts w:ascii="Arial" w:hAnsi="Arial" w:cs="Arial"/>
          <w:sz w:val="24"/>
          <w:szCs w:val="24"/>
        </w:rPr>
        <w:t> </w:t>
      </w:r>
    </w:p>
    <w:p w14:paraId="2570807E" w14:textId="77777777" w:rsidR="00A20047" w:rsidRDefault="00A20047" w:rsidP="00A20047">
      <w:pPr>
        <w:spacing w:before="40" w:after="40" w:line="252" w:lineRule="auto"/>
        <w:rPr>
          <w:rFonts w:ascii="Arial" w:hAnsi="Arial" w:cs="Arial"/>
          <w:sz w:val="24"/>
          <w:szCs w:val="24"/>
        </w:rPr>
      </w:pPr>
      <w:r>
        <w:rPr>
          <w:rFonts w:ascii="Arial" w:hAnsi="Arial" w:cs="Arial"/>
          <w:sz w:val="24"/>
          <w:szCs w:val="24"/>
        </w:rPr>
        <w:t>for Vaccination Centres Support or </w:t>
      </w:r>
      <w:hyperlink r:id="rId17" w:tgtFrame="_blank" w:history="1">
        <w:r>
          <w:rPr>
            <w:rStyle w:val="Hyperlink"/>
            <w:rFonts w:ascii="Arial" w:hAnsi="Arial" w:cs="Arial"/>
            <w:sz w:val="24"/>
            <w:szCs w:val="24"/>
          </w:rPr>
          <w:t>england.pccovidvaccine@nhs.net</w:t>
        </w:r>
      </w:hyperlink>
      <w:r>
        <w:rPr>
          <w:rFonts w:ascii="Arial" w:hAnsi="Arial" w:cs="Arial"/>
          <w:sz w:val="24"/>
          <w:szCs w:val="24"/>
        </w:rPr>
        <w:t xml:space="preserve"> for Local Vaccination Centres (Primary Care Networks and Pharmacies). </w:t>
      </w:r>
    </w:p>
    <w:p w14:paraId="23091AA1" w14:textId="77777777" w:rsidR="004F52D7" w:rsidRDefault="00076CFB"/>
    <w:sectPr w:rsidR="004F52D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0E99AB3" w14:textId="77777777" w:rsidR="00076CFB" w:rsidRDefault="00076CFB" w:rsidP="00A20047">
      <w:r>
        <w:separator/>
      </w:r>
    </w:p>
  </w:endnote>
  <w:endnote w:type="continuationSeparator" w:id="0">
    <w:p w14:paraId="7D6CDCA6" w14:textId="77777777" w:rsidR="00076CFB" w:rsidRDefault="00076CFB" w:rsidP="00A200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FEA032" w14:textId="77777777" w:rsidR="00076CFB" w:rsidRDefault="00076CFB" w:rsidP="00A20047">
      <w:r>
        <w:separator/>
      </w:r>
    </w:p>
  </w:footnote>
  <w:footnote w:type="continuationSeparator" w:id="0">
    <w:p w14:paraId="352E8DDB" w14:textId="77777777" w:rsidR="00076CFB" w:rsidRDefault="00076CFB" w:rsidP="00A20047">
      <w:r>
        <w:continuationSeparator/>
      </w:r>
    </w:p>
  </w:footnote>
  <w:footnote w:id="1">
    <w:p w14:paraId="67FE2A4D" w14:textId="77777777" w:rsidR="00A20047" w:rsidRDefault="00A20047" w:rsidP="00A20047">
      <w:pPr>
        <w:pStyle w:val="FootnoteText"/>
        <w:rPr>
          <w:rFonts w:ascii="Arial" w:hAnsi="Arial" w:cs="Arial"/>
        </w:rPr>
      </w:pPr>
      <w:r>
        <w:rPr>
          <w:rStyle w:val="FootnoteReference"/>
        </w:rPr>
        <w:t>[1]</w:t>
      </w:r>
      <w:r>
        <w:t xml:space="preserve"> </w:t>
      </w:r>
      <w:r>
        <w:rPr>
          <w:rFonts w:ascii="Arial" w:hAnsi="Arial" w:cs="Arial"/>
        </w:rPr>
        <w:t xml:space="preserve">JCVI have advised that there is a group of patients who either as a result of their disease or therapy were likely to mount a diminished response to their two doses of COVID-19 vaccine, should receive a third dose as part of a primary course followed by a booster after a further 3 months. See for JCVI advice </w:t>
      </w:r>
      <w:hyperlink r:id="rId1" w:history="1">
        <w:r>
          <w:rPr>
            <w:rStyle w:val="Hyperlink"/>
            <w:rFonts w:ascii="Arial" w:hAnsi="Arial" w:cs="Arial"/>
            <w:color w:val="005EB8"/>
            <w:bdr w:val="none" w:sz="0" w:space="0" w:color="auto" w:frame="1"/>
            <w:shd w:val="clear" w:color="auto" w:fill="FFFFFF"/>
          </w:rPr>
          <w:t>https://www.gov.uk/government/news/jcvi-issues-advice-on-third-dose-vaccination-for-severely-immunosuppressed</w:t>
        </w:r>
      </w:hyperlink>
      <w:r>
        <w:rPr>
          <w:rStyle w:val="Hyperlink"/>
          <w:rFonts w:ascii="Arial" w:hAnsi="Arial" w:cs="Arial"/>
          <w:color w:val="005EB8"/>
          <w:bdr w:val="none" w:sz="0" w:space="0" w:color="auto" w:frame="1"/>
          <w:shd w:val="clear" w:color="auto" w:fill="FFFFFF"/>
        </w:rPr>
        <w:t xml:space="preserve"> and </w:t>
      </w:r>
      <w:hyperlink r:id="rId2" w:history="1">
        <w:r>
          <w:rPr>
            <w:rStyle w:val="Hyperlink"/>
            <w:rFonts w:ascii="Arial" w:hAnsi="Arial" w:cs="Arial"/>
            <w:shd w:val="clear" w:color="auto" w:fill="FFFFFF"/>
          </w:rPr>
          <w:t>https://www.gov.uk/government/publications/uk-vaccine-response-to-the-omicron-variant-jcvi-advice/jcvi-advice-on-the-uk-vaccine-response-to-the-omicron-variant</w:t>
        </w:r>
      </w:hyperlink>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DB6E6B"/>
    <w:multiLevelType w:val="hybridMultilevel"/>
    <w:tmpl w:val="836065B6"/>
    <w:lvl w:ilvl="0" w:tplc="FD7898E8">
      <w:start w:val="5"/>
      <w:numFmt w:val="bullet"/>
      <w:lvlText w:val="-"/>
      <w:lvlJc w:val="left"/>
      <w:pPr>
        <w:ind w:left="720" w:hanging="36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13376B80"/>
    <w:multiLevelType w:val="hybridMultilevel"/>
    <w:tmpl w:val="C83AE9DA"/>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22431ADC"/>
    <w:multiLevelType w:val="hybridMultilevel"/>
    <w:tmpl w:val="EE3C0D06"/>
    <w:lvl w:ilvl="0" w:tplc="FD7898E8">
      <w:start w:val="5"/>
      <w:numFmt w:val="bullet"/>
      <w:lvlText w:val="-"/>
      <w:lvlJc w:val="left"/>
      <w:pPr>
        <w:ind w:left="360" w:hanging="360"/>
      </w:pPr>
      <w:rPr>
        <w:rFonts w:ascii="Calibri" w:eastAsia="Calibri" w:hAnsi="Calibri" w:cs="Calibri" w:hint="default"/>
      </w:rPr>
    </w:lvl>
    <w:lvl w:ilvl="1" w:tplc="FD7898E8">
      <w:start w:val="5"/>
      <w:numFmt w:val="bullet"/>
      <w:lvlText w:val="-"/>
      <w:lvlJc w:val="left"/>
      <w:pPr>
        <w:ind w:left="1080" w:hanging="360"/>
      </w:pPr>
      <w:rPr>
        <w:rFonts w:ascii="Calibri" w:eastAsia="Calibri" w:hAnsi="Calibri" w:cs="Calibri"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3" w15:restartNumberingAfterBreak="0">
    <w:nsid w:val="225426D3"/>
    <w:multiLevelType w:val="hybridMultilevel"/>
    <w:tmpl w:val="E2D2238C"/>
    <w:lvl w:ilvl="0" w:tplc="FD7898E8">
      <w:start w:val="5"/>
      <w:numFmt w:val="bullet"/>
      <w:lvlText w:val="-"/>
      <w:lvlJc w:val="left"/>
      <w:pPr>
        <w:ind w:left="720" w:hanging="360"/>
      </w:pPr>
      <w:rPr>
        <w:rFonts w:ascii="Calibri" w:eastAsia="Calibri" w:hAnsi="Calibri" w:cs="Calibri" w:hint="default"/>
      </w:rPr>
    </w:lvl>
    <w:lvl w:ilvl="1" w:tplc="FD7898E8">
      <w:start w:val="5"/>
      <w:numFmt w:val="bullet"/>
      <w:lvlText w:val="-"/>
      <w:lvlJc w:val="left"/>
      <w:pPr>
        <w:ind w:left="1440" w:hanging="360"/>
      </w:pPr>
      <w:rPr>
        <w:rFonts w:ascii="Calibri" w:eastAsia="Calibri" w:hAnsi="Calibri" w:cs="Calibri"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42FA27AB"/>
    <w:multiLevelType w:val="hybridMultilevel"/>
    <w:tmpl w:val="F83A6DD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5" w15:restartNumberingAfterBreak="0">
    <w:nsid w:val="4721059D"/>
    <w:multiLevelType w:val="hybridMultilevel"/>
    <w:tmpl w:val="227AE74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6" w15:restartNumberingAfterBreak="0">
    <w:nsid w:val="477F2001"/>
    <w:multiLevelType w:val="hybridMultilevel"/>
    <w:tmpl w:val="0CC8D416"/>
    <w:lvl w:ilvl="0" w:tplc="FD7898E8">
      <w:start w:val="5"/>
      <w:numFmt w:val="bullet"/>
      <w:lvlText w:val="-"/>
      <w:lvlJc w:val="left"/>
      <w:pPr>
        <w:ind w:left="1077" w:hanging="360"/>
      </w:pPr>
      <w:rPr>
        <w:rFonts w:ascii="Calibri" w:eastAsia="Calibri" w:hAnsi="Calibri" w:cs="Calibri" w:hint="default"/>
      </w:rPr>
    </w:lvl>
    <w:lvl w:ilvl="1" w:tplc="08090003">
      <w:start w:val="1"/>
      <w:numFmt w:val="bullet"/>
      <w:lvlText w:val="o"/>
      <w:lvlJc w:val="left"/>
      <w:pPr>
        <w:ind w:left="1797" w:hanging="360"/>
      </w:pPr>
      <w:rPr>
        <w:rFonts w:ascii="Courier New" w:hAnsi="Courier New" w:cs="Courier New" w:hint="default"/>
      </w:rPr>
    </w:lvl>
    <w:lvl w:ilvl="2" w:tplc="08090005">
      <w:start w:val="1"/>
      <w:numFmt w:val="bullet"/>
      <w:lvlText w:val=""/>
      <w:lvlJc w:val="left"/>
      <w:pPr>
        <w:ind w:left="2517" w:hanging="360"/>
      </w:pPr>
      <w:rPr>
        <w:rFonts w:ascii="Wingdings" w:hAnsi="Wingdings" w:hint="default"/>
      </w:rPr>
    </w:lvl>
    <w:lvl w:ilvl="3" w:tplc="08090001">
      <w:start w:val="1"/>
      <w:numFmt w:val="bullet"/>
      <w:lvlText w:val=""/>
      <w:lvlJc w:val="left"/>
      <w:pPr>
        <w:ind w:left="3237" w:hanging="360"/>
      </w:pPr>
      <w:rPr>
        <w:rFonts w:ascii="Symbol" w:hAnsi="Symbol" w:hint="default"/>
      </w:rPr>
    </w:lvl>
    <w:lvl w:ilvl="4" w:tplc="08090003">
      <w:start w:val="1"/>
      <w:numFmt w:val="bullet"/>
      <w:lvlText w:val="o"/>
      <w:lvlJc w:val="left"/>
      <w:pPr>
        <w:ind w:left="3957" w:hanging="360"/>
      </w:pPr>
      <w:rPr>
        <w:rFonts w:ascii="Courier New" w:hAnsi="Courier New" w:cs="Courier New" w:hint="default"/>
      </w:rPr>
    </w:lvl>
    <w:lvl w:ilvl="5" w:tplc="08090005">
      <w:start w:val="1"/>
      <w:numFmt w:val="bullet"/>
      <w:lvlText w:val=""/>
      <w:lvlJc w:val="left"/>
      <w:pPr>
        <w:ind w:left="4677" w:hanging="360"/>
      </w:pPr>
      <w:rPr>
        <w:rFonts w:ascii="Wingdings" w:hAnsi="Wingdings" w:hint="default"/>
      </w:rPr>
    </w:lvl>
    <w:lvl w:ilvl="6" w:tplc="08090001">
      <w:start w:val="1"/>
      <w:numFmt w:val="bullet"/>
      <w:lvlText w:val=""/>
      <w:lvlJc w:val="left"/>
      <w:pPr>
        <w:ind w:left="5397" w:hanging="360"/>
      </w:pPr>
      <w:rPr>
        <w:rFonts w:ascii="Symbol" w:hAnsi="Symbol" w:hint="default"/>
      </w:rPr>
    </w:lvl>
    <w:lvl w:ilvl="7" w:tplc="08090003">
      <w:start w:val="1"/>
      <w:numFmt w:val="bullet"/>
      <w:lvlText w:val="o"/>
      <w:lvlJc w:val="left"/>
      <w:pPr>
        <w:ind w:left="6117" w:hanging="360"/>
      </w:pPr>
      <w:rPr>
        <w:rFonts w:ascii="Courier New" w:hAnsi="Courier New" w:cs="Courier New" w:hint="default"/>
      </w:rPr>
    </w:lvl>
    <w:lvl w:ilvl="8" w:tplc="08090005">
      <w:start w:val="1"/>
      <w:numFmt w:val="bullet"/>
      <w:lvlText w:val=""/>
      <w:lvlJc w:val="left"/>
      <w:pPr>
        <w:ind w:left="6837" w:hanging="360"/>
      </w:pPr>
      <w:rPr>
        <w:rFonts w:ascii="Wingdings" w:hAnsi="Wingdings" w:hint="default"/>
      </w:rPr>
    </w:lvl>
  </w:abstractNum>
  <w:abstractNum w:abstractNumId="7" w15:restartNumberingAfterBreak="0">
    <w:nsid w:val="4B3861DA"/>
    <w:multiLevelType w:val="hybridMultilevel"/>
    <w:tmpl w:val="69844D06"/>
    <w:lvl w:ilvl="0" w:tplc="FD7898E8">
      <w:start w:val="5"/>
      <w:numFmt w:val="bullet"/>
      <w:lvlText w:val="-"/>
      <w:lvlJc w:val="left"/>
      <w:pPr>
        <w:ind w:left="720" w:hanging="36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 w15:restartNumberingAfterBreak="0">
    <w:nsid w:val="53AE1207"/>
    <w:multiLevelType w:val="hybridMultilevel"/>
    <w:tmpl w:val="EE6AF1E4"/>
    <w:lvl w:ilvl="0" w:tplc="0686AB9E">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 w15:restartNumberingAfterBreak="0">
    <w:nsid w:val="603758AC"/>
    <w:multiLevelType w:val="hybridMultilevel"/>
    <w:tmpl w:val="F092D29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0" w15:restartNumberingAfterBreak="0">
    <w:nsid w:val="720D2C3B"/>
    <w:multiLevelType w:val="hybridMultilevel"/>
    <w:tmpl w:val="2E2474B4"/>
    <w:lvl w:ilvl="0" w:tplc="FD7898E8">
      <w:start w:val="5"/>
      <w:numFmt w:val="bullet"/>
      <w:lvlText w:val="-"/>
      <w:lvlJc w:val="left"/>
      <w:pPr>
        <w:ind w:left="720" w:hanging="36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 w15:restartNumberingAfterBreak="0">
    <w:nsid w:val="7FFC4303"/>
    <w:multiLevelType w:val="hybridMultilevel"/>
    <w:tmpl w:val="17B245C0"/>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8"/>
  </w:num>
  <w:num w:numId="2">
    <w:abstractNumId w:val="3"/>
  </w:num>
  <w:num w:numId="3">
    <w:abstractNumId w:val="6"/>
  </w:num>
  <w:num w:numId="4">
    <w:abstractNumId w:val="10"/>
  </w:num>
  <w:num w:numId="5">
    <w:abstractNumId w:val="1"/>
  </w:num>
  <w:num w:numId="6">
    <w:abstractNumId w:val="9"/>
  </w:num>
  <w:num w:numId="7">
    <w:abstractNumId w:val="5"/>
  </w:num>
  <w:num w:numId="8">
    <w:abstractNumId w:val="4"/>
  </w:num>
  <w:num w:numId="9">
    <w:abstractNumId w:val="2"/>
  </w:num>
  <w:num w:numId="10">
    <w:abstractNumId w:val="7"/>
  </w:num>
  <w:num w:numId="11">
    <w:abstractNumId w:val="11"/>
  </w:num>
  <w:num w:numId="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20047"/>
    <w:rsid w:val="00076CFB"/>
    <w:rsid w:val="006E03B6"/>
    <w:rsid w:val="008D510E"/>
    <w:rsid w:val="008E11F8"/>
    <w:rsid w:val="00A2004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B75556"/>
  <w15:chartTrackingRefBased/>
  <w15:docId w15:val="{4D1392B8-7F15-4D8C-8B93-758F355F0B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20047"/>
    <w:pPr>
      <w:spacing w:after="0" w:line="240" w:lineRule="auto"/>
    </w:pPr>
    <w:rPr>
      <w:rFonts w:ascii="Calibri" w:hAnsi="Calibri" w:cs="Calibri"/>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A20047"/>
  </w:style>
  <w:style w:type="paragraph" w:styleId="FootnoteText">
    <w:name w:val="footnote text"/>
    <w:basedOn w:val="Normal"/>
    <w:link w:val="FootnoteTextChar"/>
    <w:uiPriority w:val="99"/>
    <w:semiHidden/>
    <w:unhideWhenUsed/>
    <w:rsid w:val="00A20047"/>
    <w:rPr>
      <w:sz w:val="20"/>
      <w:szCs w:val="20"/>
      <w:lang w:eastAsia="en-US"/>
    </w:rPr>
  </w:style>
  <w:style w:type="character" w:customStyle="1" w:styleId="FootnoteTextChar">
    <w:name w:val="Footnote Text Char"/>
    <w:basedOn w:val="DefaultParagraphFont"/>
    <w:link w:val="FootnoteText"/>
    <w:uiPriority w:val="99"/>
    <w:semiHidden/>
    <w:rsid w:val="00A20047"/>
    <w:rPr>
      <w:rFonts w:ascii="Calibri" w:hAnsi="Calibri" w:cs="Calibri"/>
      <w:sz w:val="20"/>
      <w:szCs w:val="20"/>
    </w:rPr>
  </w:style>
  <w:style w:type="character" w:styleId="FootnoteReference">
    <w:name w:val="footnote reference"/>
    <w:basedOn w:val="DefaultParagraphFont"/>
    <w:uiPriority w:val="99"/>
    <w:semiHidden/>
    <w:unhideWhenUsed/>
    <w:rsid w:val="00A20047"/>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hs.uk/conditions/coronavirus-covid-19/coronavirus-vaccination/find-a-walk-in-coronavirus-covid-19-vaccination-site/" TargetMode="External"/><Relationship Id="rId13" Type="http://schemas.openxmlformats.org/officeDocument/2006/relationships/hyperlink" Target="https://future.nhs.uk/CommsLink/view?objectId=30340336"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nhs.uk/conditions/coronavirus-covid-19/coronavirus-vaccination/find-a-walk-in-coronavirus-covid-19-vaccination-site/" TargetMode="External"/><Relationship Id="rId12" Type="http://schemas.openxmlformats.org/officeDocument/2006/relationships/hyperlink" Target="https://www.gov.uk/government/publications/covid-19-the-green-book-chapter-14a" TargetMode="External"/><Relationship Id="rId17" Type="http://schemas.openxmlformats.org/officeDocument/2006/relationships/hyperlink" Target="mailto:england.pccovidvaccine@nhs.net" TargetMode="External"/><Relationship Id="rId2" Type="http://schemas.openxmlformats.org/officeDocument/2006/relationships/styles" Target="styles.xml"/><Relationship Id="rId16" Type="http://schemas.openxmlformats.org/officeDocument/2006/relationships/hyperlink" Target="mailto:england.vaccinecentresgroupsupport@nhs.net"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future.nhs.uk/CommsLink/view?objectId=30340336" TargetMode="External"/><Relationship Id="rId5" Type="http://schemas.openxmlformats.org/officeDocument/2006/relationships/footnotes" Target="footnotes.xml"/><Relationship Id="rId15" Type="http://schemas.openxmlformats.org/officeDocument/2006/relationships/hyperlink" Target="https://future.nhs.uk/CommsLink/view?objectId=30340336" TargetMode="External"/><Relationship Id="rId10" Type="http://schemas.openxmlformats.org/officeDocument/2006/relationships/hyperlink" Target="https://future.nhs.uk/CommsLink/view?objectId=30340336"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www.england.nhs.uk/coronavirus/covid-19-vaccination-programme/legal-mechanisms/" TargetMode="External"/><Relationship Id="rId14" Type="http://schemas.openxmlformats.org/officeDocument/2006/relationships/hyperlink" Target="https://future.nhs.uk/CommsLink/view?objectId=30340336"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s://www.gov.uk/government/publications/uk-vaccine-response-to-the-omicron-variant-jcvi-advice/jcvi-advice-on-the-uk-vaccine-response-to-the-omicron-variant" TargetMode="External"/><Relationship Id="rId1" Type="http://schemas.openxmlformats.org/officeDocument/2006/relationships/hyperlink" Target="https://www.gov.uk/government/news/jcvi-issues-advice-on-third-dose-vaccination-for-severely-immunosuppressed"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4</Pages>
  <Words>1652</Words>
  <Characters>9421</Characters>
  <Application>Microsoft Office Word</Application>
  <DocSecurity>0</DocSecurity>
  <Lines>78</Lines>
  <Paragraphs>22</Paragraphs>
  <ScaleCrop>false</ScaleCrop>
  <Company/>
  <LinksUpToDate>false</LinksUpToDate>
  <CharactersWithSpaces>11051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COULTER, Jayne (NHS FRIMLEY CCG)</dc:creator>
  <cp:keywords/>
  <dc:description/>
  <cp:lastModifiedBy>COULTER, Jayne (NHS FRIMLEY CCG)</cp:lastModifiedBy>
  <cp:revision>1</cp:revision>
  <dcterms:created xsi:type="dcterms:W3CDTF">2021-12-22T15:18:00Z</dcterms:created>
  <dcterms:modified xsi:type="dcterms:W3CDTF">2021-12-22T15:19:00Z</dcterms:modified>
</cp:coreProperties>
</file>