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21EAD" w14:textId="77777777" w:rsidR="003261B2" w:rsidRDefault="003261B2" w:rsidP="003261B2">
      <w:pPr>
        <w:rPr>
          <w:rFonts w:ascii="Arial" w:hAnsi="Arial" w:cs="Arial"/>
          <w:b/>
          <w:bCs/>
          <w:color w:val="000000"/>
          <w:sz w:val="24"/>
          <w:szCs w:val="24"/>
          <w:u w:val="single"/>
          <w:lang w:eastAsia="en-GB"/>
        </w:rPr>
      </w:pPr>
      <w:r>
        <w:rPr>
          <w:rFonts w:ascii="Arial" w:hAnsi="Arial" w:cs="Arial"/>
          <w:b/>
          <w:bCs/>
          <w:color w:val="000000"/>
          <w:sz w:val="24"/>
          <w:szCs w:val="24"/>
          <w:u w:val="single"/>
          <w:lang w:eastAsia="en-GB"/>
        </w:rPr>
        <w:t>Decommissioning and pausing of inactive Covid-19 vaccines from the Vaccine Deployment Programme</w:t>
      </w:r>
    </w:p>
    <w:p w14:paraId="5A3F84D3" w14:textId="77777777" w:rsidR="003261B2" w:rsidRDefault="003261B2" w:rsidP="003261B2">
      <w:pPr>
        <w:textAlignment w:val="baseline"/>
        <w:rPr>
          <w:rFonts w:ascii="Arial" w:hAnsi="Arial" w:cs="Arial"/>
          <w:color w:val="FF0000"/>
          <w:sz w:val="24"/>
          <w:szCs w:val="24"/>
          <w:lang w:eastAsia="en-GB"/>
        </w:rPr>
      </w:pPr>
    </w:p>
    <w:p w14:paraId="51D77269" w14:textId="77777777" w:rsidR="003261B2" w:rsidRDefault="003261B2" w:rsidP="003261B2">
      <w:pPr>
        <w:rPr>
          <w:rFonts w:ascii="Arial" w:hAnsi="Arial" w:cs="Arial"/>
          <w:color w:val="000000"/>
          <w:sz w:val="24"/>
          <w:szCs w:val="24"/>
          <w:lang w:eastAsia="en-GB"/>
        </w:rPr>
      </w:pPr>
      <w:r>
        <w:rPr>
          <w:rFonts w:ascii="Arial" w:hAnsi="Arial" w:cs="Arial"/>
          <w:color w:val="000000"/>
          <w:sz w:val="24"/>
          <w:szCs w:val="24"/>
          <w:lang w:eastAsia="en-GB"/>
        </w:rPr>
        <w:t xml:space="preserve">Dear </w:t>
      </w:r>
      <w:r>
        <w:rPr>
          <w:rFonts w:ascii="Arial" w:hAnsi="Arial" w:cs="Arial"/>
          <w:sz w:val="24"/>
          <w:szCs w:val="24"/>
          <w:lang w:eastAsia="en-GB"/>
        </w:rPr>
        <w:t>c</w:t>
      </w:r>
      <w:r>
        <w:rPr>
          <w:rFonts w:ascii="Arial" w:hAnsi="Arial" w:cs="Arial"/>
          <w:color w:val="000000"/>
          <w:sz w:val="24"/>
          <w:szCs w:val="24"/>
          <w:lang w:eastAsia="en-GB"/>
        </w:rPr>
        <w:t>olleagues,</w:t>
      </w:r>
    </w:p>
    <w:p w14:paraId="514D053A" w14:textId="77777777" w:rsidR="003261B2" w:rsidRDefault="003261B2" w:rsidP="003261B2">
      <w:pPr>
        <w:rPr>
          <w:rFonts w:ascii="Arial" w:hAnsi="Arial" w:cs="Arial"/>
          <w:color w:val="000000"/>
          <w:sz w:val="24"/>
          <w:szCs w:val="24"/>
          <w:lang w:eastAsia="en-GB"/>
        </w:rPr>
      </w:pPr>
    </w:p>
    <w:p w14:paraId="12CE6F2B" w14:textId="77777777" w:rsidR="003261B2" w:rsidRDefault="003261B2" w:rsidP="003261B2">
      <w:pPr>
        <w:spacing w:after="160" w:line="252" w:lineRule="auto"/>
        <w:rPr>
          <w:rFonts w:ascii="Arial" w:hAnsi="Arial" w:cs="Arial"/>
          <w:color w:val="000000"/>
          <w:sz w:val="24"/>
          <w:szCs w:val="24"/>
          <w:lang w:eastAsia="en-GB"/>
        </w:rPr>
      </w:pPr>
      <w:proofErr w:type="gramStart"/>
      <w:r>
        <w:rPr>
          <w:rFonts w:ascii="Arial" w:hAnsi="Arial" w:cs="Arial"/>
          <w:color w:val="000000"/>
          <w:sz w:val="24"/>
          <w:szCs w:val="24"/>
          <w:lang w:eastAsia="en-GB"/>
        </w:rPr>
        <w:t>In orde</w:t>
      </w:r>
      <w:r>
        <w:rPr>
          <w:rFonts w:ascii="Arial" w:hAnsi="Arial" w:cs="Arial"/>
          <w:sz w:val="24"/>
          <w:szCs w:val="24"/>
          <w:lang w:eastAsia="en-GB"/>
        </w:rPr>
        <w:t>r</w:t>
      </w:r>
      <w:r>
        <w:rPr>
          <w:rFonts w:ascii="Arial" w:hAnsi="Arial" w:cs="Arial"/>
          <w:color w:val="000000"/>
          <w:sz w:val="24"/>
          <w:szCs w:val="24"/>
          <w:lang w:eastAsia="en-GB"/>
        </w:rPr>
        <w:t xml:space="preserve"> to</w:t>
      </w:r>
      <w:proofErr w:type="gramEnd"/>
      <w:r>
        <w:rPr>
          <w:rFonts w:ascii="Arial" w:hAnsi="Arial" w:cs="Arial"/>
          <w:color w:val="000000"/>
          <w:sz w:val="24"/>
          <w:szCs w:val="24"/>
          <w:lang w:eastAsia="en-GB"/>
        </w:rPr>
        <w:t xml:space="preserve"> simplify our COVID-19 vaccine portfolio, </w:t>
      </w:r>
      <w:r>
        <w:rPr>
          <w:rFonts w:ascii="Arial" w:hAnsi="Arial" w:cs="Arial"/>
          <w:color w:val="000000"/>
          <w:position w:val="-1"/>
          <w:sz w:val="24"/>
          <w:szCs w:val="24"/>
        </w:rPr>
        <w:t>significantly reduce operational complexity, and reduce wastage levels</w:t>
      </w:r>
      <w:r>
        <w:rPr>
          <w:rFonts w:ascii="Arial" w:hAnsi="Arial" w:cs="Arial"/>
          <w:position w:val="-1"/>
          <w:sz w:val="24"/>
          <w:szCs w:val="24"/>
        </w:rPr>
        <w:t xml:space="preserve">, </w:t>
      </w:r>
      <w:r>
        <w:rPr>
          <w:rFonts w:ascii="Arial" w:hAnsi="Arial" w:cs="Arial"/>
          <w:color w:val="000000"/>
          <w:sz w:val="24"/>
          <w:szCs w:val="24"/>
          <w:lang w:val="en-US"/>
        </w:rPr>
        <w:t xml:space="preserve">a decision has been made to decommission three inactive Covid-19 vaccines from 17 August 2023. </w:t>
      </w:r>
    </w:p>
    <w:p w14:paraId="148B8A15" w14:textId="77777777" w:rsidR="003261B2" w:rsidRDefault="003261B2" w:rsidP="003261B2">
      <w:pPr>
        <w:rPr>
          <w:rFonts w:ascii="Arial" w:hAnsi="Arial" w:cs="Arial"/>
          <w:b/>
          <w:bCs/>
          <w:color w:val="000000"/>
          <w:sz w:val="24"/>
          <w:szCs w:val="24"/>
          <w:lang w:eastAsia="en-GB"/>
        </w:rPr>
      </w:pPr>
      <w:r>
        <w:rPr>
          <w:rFonts w:ascii="Arial" w:hAnsi="Arial" w:cs="Arial"/>
          <w:b/>
          <w:bCs/>
          <w:color w:val="000000"/>
          <w:sz w:val="24"/>
          <w:szCs w:val="24"/>
          <w:lang w:eastAsia="en-GB"/>
        </w:rPr>
        <w:t>The three vaccines, which are being decommissioned are:</w:t>
      </w:r>
    </w:p>
    <w:p w14:paraId="483D09B7" w14:textId="77777777" w:rsidR="003261B2" w:rsidRDefault="003261B2" w:rsidP="003261B2">
      <w:pPr>
        <w:rPr>
          <w:rFonts w:ascii="Arial" w:hAnsi="Arial" w:cs="Arial"/>
          <w:b/>
          <w:bCs/>
          <w:color w:val="000000"/>
          <w:sz w:val="24"/>
          <w:szCs w:val="24"/>
          <w:lang w:eastAsia="en-GB"/>
        </w:rPr>
      </w:pPr>
    </w:p>
    <w:p w14:paraId="68AA9342" w14:textId="77777777" w:rsidR="003261B2" w:rsidRDefault="003261B2" w:rsidP="003261B2">
      <w:pPr>
        <w:pStyle w:val="ListParagraph"/>
        <w:numPr>
          <w:ilvl w:val="0"/>
          <w:numId w:val="1"/>
        </w:numPr>
        <w:contextualSpacing/>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Spikevax Original (last delivered to sites January 2023)</w:t>
      </w:r>
    </w:p>
    <w:p w14:paraId="72E04CC0" w14:textId="77777777" w:rsidR="003261B2" w:rsidRDefault="003261B2" w:rsidP="003261B2">
      <w:pPr>
        <w:pStyle w:val="ListParagraph"/>
        <w:numPr>
          <w:ilvl w:val="0"/>
          <w:numId w:val="1"/>
        </w:numPr>
        <w:contextualSpacing/>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Comirnaty 30 Concentrate (last delivered to sites March 2023)</w:t>
      </w:r>
    </w:p>
    <w:p w14:paraId="21ED52AB" w14:textId="77777777" w:rsidR="003261B2" w:rsidRDefault="003261B2" w:rsidP="003261B2">
      <w:pPr>
        <w:pStyle w:val="ListParagraph"/>
        <w:numPr>
          <w:ilvl w:val="0"/>
          <w:numId w:val="1"/>
        </w:numPr>
        <w:contextualSpacing/>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Spikevax BA.1 (last delivered to sites March 2023)</w:t>
      </w:r>
    </w:p>
    <w:p w14:paraId="288939C6" w14:textId="77777777" w:rsidR="003261B2" w:rsidRDefault="003261B2" w:rsidP="003261B2">
      <w:pPr>
        <w:rPr>
          <w:rFonts w:ascii="Arial" w:hAnsi="Arial" w:cs="Arial"/>
          <w:sz w:val="24"/>
          <w:szCs w:val="24"/>
          <w:lang w:eastAsia="en-GB"/>
        </w:rPr>
      </w:pPr>
    </w:p>
    <w:p w14:paraId="337A17A1" w14:textId="77777777" w:rsidR="003261B2" w:rsidRDefault="003261B2" w:rsidP="003261B2">
      <w:pPr>
        <w:rPr>
          <w:rFonts w:ascii="Arial" w:hAnsi="Arial" w:cs="Arial"/>
          <w:color w:val="000000"/>
          <w:sz w:val="24"/>
          <w:szCs w:val="24"/>
          <w:lang w:eastAsia="en-GB"/>
        </w:rPr>
      </w:pPr>
      <w:r>
        <w:rPr>
          <w:rFonts w:ascii="Arial" w:hAnsi="Arial" w:cs="Arial"/>
          <w:color w:val="000000"/>
          <w:sz w:val="24"/>
          <w:szCs w:val="24"/>
          <w:lang w:eastAsia="en-GB"/>
        </w:rPr>
        <w:t xml:space="preserve">Use of these vaccines has already ceased within the </w:t>
      </w:r>
      <w:r>
        <w:rPr>
          <w:rFonts w:ascii="Arial" w:hAnsi="Arial" w:cs="Arial"/>
          <w:sz w:val="24"/>
          <w:szCs w:val="24"/>
          <w:lang w:eastAsia="en-GB"/>
        </w:rPr>
        <w:t>p</w:t>
      </w:r>
      <w:r>
        <w:rPr>
          <w:rFonts w:ascii="Arial" w:hAnsi="Arial" w:cs="Arial"/>
          <w:color w:val="000000"/>
          <w:sz w:val="24"/>
          <w:szCs w:val="24"/>
          <w:lang w:eastAsia="en-GB"/>
        </w:rPr>
        <w:t xml:space="preserve">rogramme, as they have been replaced by newer variants on the recommendation of the JCVI and all stocks have now expired. </w:t>
      </w:r>
    </w:p>
    <w:p w14:paraId="6DE945E4" w14:textId="77777777" w:rsidR="003261B2" w:rsidRDefault="003261B2" w:rsidP="003261B2">
      <w:pPr>
        <w:rPr>
          <w:rFonts w:ascii="Arial" w:hAnsi="Arial" w:cs="Arial"/>
          <w:color w:val="000000"/>
          <w:sz w:val="24"/>
          <w:szCs w:val="24"/>
          <w:lang w:eastAsia="en-GB"/>
        </w:rPr>
      </w:pPr>
    </w:p>
    <w:p w14:paraId="292B23D5" w14:textId="77777777" w:rsidR="003261B2" w:rsidRDefault="003261B2" w:rsidP="003261B2">
      <w:pPr>
        <w:rPr>
          <w:rFonts w:ascii="Arial" w:hAnsi="Arial" w:cs="Arial"/>
          <w:b/>
          <w:bCs/>
          <w:color w:val="000000"/>
          <w:sz w:val="24"/>
          <w:szCs w:val="24"/>
          <w:lang w:eastAsia="en-GB"/>
        </w:rPr>
      </w:pPr>
      <w:r>
        <w:rPr>
          <w:rFonts w:ascii="Arial" w:hAnsi="Arial" w:cs="Arial"/>
          <w:b/>
          <w:bCs/>
          <w:color w:val="000000"/>
          <w:sz w:val="24"/>
          <w:szCs w:val="24"/>
          <w:lang w:eastAsia="en-GB"/>
        </w:rPr>
        <w:t xml:space="preserve">In addition, two further vaccine types will be officially paused from 17 August: </w:t>
      </w:r>
    </w:p>
    <w:p w14:paraId="770A5A59" w14:textId="77777777" w:rsidR="003261B2" w:rsidRDefault="003261B2" w:rsidP="003261B2">
      <w:pPr>
        <w:rPr>
          <w:rFonts w:ascii="Arial" w:hAnsi="Arial" w:cs="Arial"/>
          <w:b/>
          <w:bCs/>
          <w:color w:val="000000"/>
          <w:sz w:val="24"/>
          <w:szCs w:val="24"/>
          <w:lang w:eastAsia="en-GB"/>
        </w:rPr>
      </w:pPr>
    </w:p>
    <w:p w14:paraId="6338FC78" w14:textId="77777777" w:rsidR="003261B2" w:rsidRDefault="003261B2" w:rsidP="003261B2">
      <w:pPr>
        <w:pStyle w:val="ListParagraph"/>
        <w:numPr>
          <w:ilvl w:val="0"/>
          <w:numId w:val="2"/>
        </w:numPr>
        <w:contextualSpacing/>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Comirnaty BA.1 (last delivered to sites March 2023)</w:t>
      </w:r>
    </w:p>
    <w:p w14:paraId="1C3A766A" w14:textId="77777777" w:rsidR="003261B2" w:rsidRDefault="003261B2" w:rsidP="003261B2">
      <w:pPr>
        <w:pStyle w:val="ListParagraph"/>
        <w:numPr>
          <w:ilvl w:val="0"/>
          <w:numId w:val="1"/>
        </w:numPr>
        <w:contextualSpacing/>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Nuvaxovid (last delivered to sites May 2023)</w:t>
      </w:r>
    </w:p>
    <w:p w14:paraId="09DD8CCA" w14:textId="77777777" w:rsidR="003261B2" w:rsidRDefault="003261B2" w:rsidP="003261B2">
      <w:pPr>
        <w:pStyle w:val="ListParagraph"/>
        <w:rPr>
          <w:rFonts w:ascii="Arial" w:hAnsi="Arial" w:cs="Arial"/>
          <w:color w:val="000000"/>
          <w:sz w:val="24"/>
          <w:szCs w:val="24"/>
          <w:lang w:eastAsia="en-GB"/>
        </w:rPr>
      </w:pPr>
    </w:p>
    <w:p w14:paraId="136ED16A" w14:textId="77777777" w:rsidR="003261B2" w:rsidRDefault="003261B2" w:rsidP="003261B2">
      <w:pPr>
        <w:rPr>
          <w:rFonts w:ascii="Arial" w:hAnsi="Arial" w:cs="Arial"/>
          <w:sz w:val="24"/>
          <w:szCs w:val="24"/>
          <w:lang w:eastAsia="en-GB"/>
        </w:rPr>
      </w:pPr>
      <w:r>
        <w:rPr>
          <w:rFonts w:ascii="Arial" w:hAnsi="Arial" w:cs="Arial"/>
          <w:color w:val="000000"/>
          <w:sz w:val="24"/>
          <w:szCs w:val="24"/>
          <w:lang w:eastAsia="en-GB"/>
        </w:rPr>
        <w:t xml:space="preserve">Use of both these vaccine types has also temporarily ceased within the </w:t>
      </w:r>
      <w:r>
        <w:rPr>
          <w:rFonts w:ascii="Arial" w:hAnsi="Arial" w:cs="Arial"/>
          <w:sz w:val="24"/>
          <w:szCs w:val="24"/>
          <w:lang w:eastAsia="en-GB"/>
        </w:rPr>
        <w:t>p</w:t>
      </w:r>
      <w:r>
        <w:rPr>
          <w:rFonts w:ascii="Arial" w:hAnsi="Arial" w:cs="Arial"/>
          <w:color w:val="000000"/>
          <w:sz w:val="24"/>
          <w:szCs w:val="24"/>
          <w:lang w:eastAsia="en-GB"/>
        </w:rPr>
        <w:t>rogramme and all site level inventory has now expired.</w:t>
      </w:r>
      <w:r>
        <w:rPr>
          <w:rFonts w:ascii="Arial" w:hAnsi="Arial" w:cs="Arial"/>
          <w:sz w:val="24"/>
          <w:szCs w:val="24"/>
          <w:lang w:eastAsia="en-GB"/>
        </w:rPr>
        <w:t xml:space="preserve"> </w:t>
      </w:r>
    </w:p>
    <w:p w14:paraId="1D64938C" w14:textId="77777777" w:rsidR="003261B2" w:rsidRDefault="003261B2" w:rsidP="003261B2">
      <w:pPr>
        <w:rPr>
          <w:rFonts w:ascii="Arial" w:hAnsi="Arial" w:cs="Arial"/>
          <w:sz w:val="24"/>
          <w:szCs w:val="24"/>
          <w:lang w:eastAsia="en-GB"/>
        </w:rPr>
      </w:pPr>
    </w:p>
    <w:p w14:paraId="367D12A3" w14:textId="77777777" w:rsidR="003261B2" w:rsidRDefault="003261B2" w:rsidP="003261B2">
      <w:pPr>
        <w:rPr>
          <w:rFonts w:ascii="Arial" w:hAnsi="Arial" w:cs="Arial"/>
          <w:color w:val="000000"/>
          <w:sz w:val="24"/>
          <w:szCs w:val="24"/>
          <w:lang w:eastAsia="en-GB"/>
        </w:rPr>
      </w:pPr>
      <w:r>
        <w:rPr>
          <w:rFonts w:ascii="Arial" w:hAnsi="Arial" w:cs="Arial"/>
          <w:color w:val="000000"/>
          <w:sz w:val="24"/>
          <w:szCs w:val="24"/>
          <w:lang w:eastAsia="en-GB"/>
        </w:rPr>
        <w:t xml:space="preserve">Both vaccines will be kept in a paused status until further notice, allowing the </w:t>
      </w:r>
      <w:r>
        <w:rPr>
          <w:rFonts w:ascii="Arial" w:hAnsi="Arial" w:cs="Arial"/>
          <w:sz w:val="24"/>
          <w:szCs w:val="24"/>
          <w:lang w:eastAsia="en-GB"/>
        </w:rPr>
        <w:t>p</w:t>
      </w:r>
      <w:r>
        <w:rPr>
          <w:rFonts w:ascii="Arial" w:hAnsi="Arial" w:cs="Arial"/>
          <w:color w:val="000000"/>
          <w:sz w:val="24"/>
          <w:szCs w:val="24"/>
          <w:lang w:eastAsia="en-GB"/>
        </w:rPr>
        <w:t xml:space="preserve">rogramme to reactivate them if required. </w:t>
      </w:r>
    </w:p>
    <w:p w14:paraId="7740DA91" w14:textId="77777777" w:rsidR="003261B2" w:rsidRDefault="003261B2" w:rsidP="003261B2">
      <w:pPr>
        <w:rPr>
          <w:rFonts w:ascii="Arial" w:hAnsi="Arial" w:cs="Arial"/>
          <w:color w:val="000000"/>
          <w:sz w:val="24"/>
          <w:szCs w:val="24"/>
          <w:lang w:eastAsia="en-GB"/>
        </w:rPr>
      </w:pPr>
    </w:p>
    <w:p w14:paraId="0E0DE756" w14:textId="77777777" w:rsidR="003261B2" w:rsidRDefault="003261B2" w:rsidP="003261B2">
      <w:pPr>
        <w:pStyle w:val="CommentText"/>
        <w:rPr>
          <w:sz w:val="24"/>
          <w:szCs w:val="24"/>
        </w:rPr>
      </w:pPr>
      <w:r>
        <w:rPr>
          <w:sz w:val="24"/>
          <w:szCs w:val="24"/>
        </w:rPr>
        <w:t xml:space="preserve">Sites are reminded to consider the implications of the pausing of Nuvaxovid on their service provision, including changes to referral processes, with support from systems. Options are being considered regarding non-mRNA vaccines for Autumn/Winter and information will follow in due course. </w:t>
      </w:r>
    </w:p>
    <w:p w14:paraId="46708F0E" w14:textId="77777777" w:rsidR="003261B2" w:rsidRDefault="003261B2" w:rsidP="003261B2">
      <w:pPr>
        <w:rPr>
          <w:rFonts w:ascii="Arial" w:hAnsi="Arial" w:cs="Arial"/>
          <w:b/>
          <w:bCs/>
          <w:color w:val="000000"/>
          <w:sz w:val="24"/>
          <w:szCs w:val="24"/>
          <w:u w:val="single"/>
          <w:lang w:eastAsia="en-GB"/>
        </w:rPr>
      </w:pPr>
      <w:r>
        <w:rPr>
          <w:rFonts w:ascii="Arial" w:hAnsi="Arial" w:cs="Arial"/>
          <w:b/>
          <w:bCs/>
          <w:color w:val="000000"/>
          <w:sz w:val="24"/>
          <w:szCs w:val="24"/>
          <w:u w:val="single"/>
          <w:lang w:eastAsia="en-GB"/>
        </w:rPr>
        <w:t>Foundry System:</w:t>
      </w:r>
    </w:p>
    <w:p w14:paraId="672CEA7E" w14:textId="77777777" w:rsidR="003261B2" w:rsidRDefault="003261B2" w:rsidP="003261B2">
      <w:pPr>
        <w:rPr>
          <w:rFonts w:ascii="Arial" w:hAnsi="Arial" w:cs="Arial"/>
          <w:b/>
          <w:bCs/>
          <w:sz w:val="24"/>
          <w:szCs w:val="24"/>
          <w:u w:val="single"/>
          <w:lang w:eastAsia="en-GB"/>
        </w:rPr>
      </w:pPr>
    </w:p>
    <w:p w14:paraId="412CDEE2" w14:textId="77777777" w:rsidR="003261B2" w:rsidRDefault="003261B2" w:rsidP="003261B2">
      <w:pPr>
        <w:rPr>
          <w:rFonts w:ascii="Arial" w:hAnsi="Arial" w:cs="Arial"/>
          <w:color w:val="000000"/>
          <w:sz w:val="24"/>
          <w:szCs w:val="24"/>
          <w:lang w:eastAsia="en-GB"/>
        </w:rPr>
      </w:pPr>
      <w:r>
        <w:rPr>
          <w:rFonts w:ascii="Arial" w:hAnsi="Arial" w:cs="Arial"/>
          <w:color w:val="000000"/>
          <w:sz w:val="24"/>
          <w:szCs w:val="24"/>
          <w:lang w:eastAsia="en-GB"/>
        </w:rPr>
        <w:t xml:space="preserve">Work is currently underway to remove the three vaccine types being decommissioned from the Foundry system including Site Stock Manager and the Transfer App and this is expected to be completed by 31 August. The two paused vaccines will remain on the system but be hidden from view. </w:t>
      </w:r>
    </w:p>
    <w:p w14:paraId="716F4849" w14:textId="77777777" w:rsidR="003261B2" w:rsidRDefault="003261B2" w:rsidP="003261B2">
      <w:pPr>
        <w:rPr>
          <w:rFonts w:ascii="Arial" w:hAnsi="Arial" w:cs="Arial"/>
          <w:color w:val="000000"/>
          <w:sz w:val="24"/>
          <w:szCs w:val="24"/>
          <w:highlight w:val="yellow"/>
          <w:lang w:eastAsia="en-GB"/>
        </w:rPr>
      </w:pPr>
    </w:p>
    <w:p w14:paraId="5534FD99" w14:textId="77777777" w:rsidR="003261B2" w:rsidRDefault="003261B2" w:rsidP="003261B2">
      <w:pPr>
        <w:rPr>
          <w:rFonts w:ascii="Arial" w:hAnsi="Arial" w:cs="Arial"/>
          <w:b/>
          <w:bCs/>
          <w:color w:val="000000"/>
          <w:sz w:val="24"/>
          <w:szCs w:val="24"/>
          <w:u w:val="single"/>
          <w:lang w:eastAsia="en-GB"/>
        </w:rPr>
      </w:pPr>
      <w:r>
        <w:rPr>
          <w:rFonts w:ascii="Arial" w:hAnsi="Arial" w:cs="Arial"/>
          <w:b/>
          <w:bCs/>
          <w:color w:val="000000"/>
          <w:sz w:val="24"/>
          <w:szCs w:val="24"/>
          <w:u w:val="single"/>
          <w:lang w:eastAsia="en-GB"/>
        </w:rPr>
        <w:t>Point of Care Systems:</w:t>
      </w:r>
    </w:p>
    <w:p w14:paraId="6CF1B1C4" w14:textId="77777777" w:rsidR="003261B2" w:rsidRDefault="003261B2" w:rsidP="003261B2">
      <w:pPr>
        <w:rPr>
          <w:rFonts w:ascii="Arial" w:hAnsi="Arial" w:cs="Arial"/>
          <w:b/>
          <w:bCs/>
          <w:sz w:val="24"/>
          <w:szCs w:val="24"/>
          <w:u w:val="single"/>
          <w:lang w:eastAsia="en-GB"/>
        </w:rPr>
      </w:pPr>
    </w:p>
    <w:p w14:paraId="0F3DAE95" w14:textId="77777777" w:rsidR="003261B2" w:rsidRDefault="003261B2" w:rsidP="003261B2">
      <w:pPr>
        <w:rPr>
          <w:rFonts w:ascii="Arial" w:hAnsi="Arial" w:cs="Arial"/>
          <w:sz w:val="24"/>
          <w:szCs w:val="24"/>
        </w:rPr>
      </w:pPr>
      <w:r>
        <w:rPr>
          <w:rFonts w:ascii="Arial" w:hAnsi="Arial" w:cs="Arial"/>
          <w:sz w:val="24"/>
          <w:szCs w:val="24"/>
        </w:rPr>
        <w:t xml:space="preserve">Spikevax Original has been removed from the Point of Care systems and will no longer be an option when recording a vaccination event. Comirnaty 30 Concentrate and Spikevax BA.1 will be removed before the Autumn campaign begins. Comirnaty BA.1 and Nuvaxovid will remain on the systems, while these vaccine types are in a paused state, but they are not to be used for recording vaccination events unless they are returned to use. </w:t>
      </w:r>
    </w:p>
    <w:p w14:paraId="4C5F3FB4" w14:textId="77777777" w:rsidR="003261B2" w:rsidRDefault="003261B2" w:rsidP="003261B2">
      <w:pPr>
        <w:rPr>
          <w:rFonts w:ascii="Arial" w:hAnsi="Arial" w:cs="Arial"/>
          <w:sz w:val="24"/>
          <w:szCs w:val="24"/>
          <w:highlight w:val="yellow"/>
        </w:rPr>
      </w:pPr>
    </w:p>
    <w:p w14:paraId="7D1BB15B" w14:textId="77777777" w:rsidR="003261B2" w:rsidRDefault="003261B2" w:rsidP="003261B2">
      <w:pPr>
        <w:rPr>
          <w:rFonts w:ascii="Arial" w:hAnsi="Arial" w:cs="Arial"/>
          <w:b/>
          <w:bCs/>
          <w:sz w:val="24"/>
          <w:szCs w:val="24"/>
          <w:u w:val="single"/>
        </w:rPr>
      </w:pPr>
      <w:r>
        <w:rPr>
          <w:rFonts w:ascii="Arial" w:hAnsi="Arial" w:cs="Arial"/>
          <w:b/>
          <w:bCs/>
          <w:sz w:val="24"/>
          <w:szCs w:val="24"/>
          <w:u w:val="single"/>
        </w:rPr>
        <w:t>Training Materials:</w:t>
      </w:r>
    </w:p>
    <w:p w14:paraId="2A6FEF83" w14:textId="77777777" w:rsidR="003261B2" w:rsidRDefault="003261B2" w:rsidP="003261B2">
      <w:pPr>
        <w:rPr>
          <w:rFonts w:ascii="Arial" w:hAnsi="Arial" w:cs="Arial"/>
          <w:b/>
          <w:bCs/>
          <w:sz w:val="24"/>
          <w:szCs w:val="24"/>
          <w:u w:val="single"/>
        </w:rPr>
      </w:pPr>
    </w:p>
    <w:p w14:paraId="23444D62" w14:textId="77777777" w:rsidR="003261B2" w:rsidRDefault="003261B2" w:rsidP="003261B2">
      <w:pPr>
        <w:rPr>
          <w:rFonts w:ascii="Arial" w:hAnsi="Arial" w:cs="Arial"/>
          <w:sz w:val="24"/>
          <w:szCs w:val="24"/>
        </w:rPr>
      </w:pPr>
      <w:r>
        <w:rPr>
          <w:rFonts w:ascii="Arial" w:hAnsi="Arial" w:cs="Arial"/>
          <w:sz w:val="24"/>
          <w:szCs w:val="24"/>
        </w:rPr>
        <w:t xml:space="preserve">Training and guidance materials relating to the three decommissioned vaccine types will be removed from the e-learning for health site. Training and guidance materials relating to the two paused vaccine types will remain available in case there is a requirement to re-activate. </w:t>
      </w:r>
    </w:p>
    <w:p w14:paraId="0E596572" w14:textId="77777777" w:rsidR="003261B2" w:rsidRDefault="003261B2" w:rsidP="003261B2">
      <w:pPr>
        <w:rPr>
          <w:rFonts w:ascii="Arial" w:hAnsi="Arial" w:cs="Arial"/>
          <w:b/>
          <w:bCs/>
          <w:color w:val="000000"/>
          <w:sz w:val="24"/>
          <w:szCs w:val="24"/>
          <w:lang w:eastAsia="en-GB"/>
        </w:rPr>
      </w:pPr>
    </w:p>
    <w:p w14:paraId="16958CC6" w14:textId="77777777" w:rsidR="003261B2" w:rsidRDefault="003261B2" w:rsidP="003261B2">
      <w:pPr>
        <w:rPr>
          <w:rFonts w:ascii="Arial" w:hAnsi="Arial" w:cs="Arial"/>
          <w:b/>
          <w:bCs/>
          <w:color w:val="000000"/>
          <w:sz w:val="24"/>
          <w:szCs w:val="24"/>
          <w:u w:val="single"/>
          <w:lang w:eastAsia="en-GB"/>
        </w:rPr>
      </w:pPr>
      <w:r>
        <w:rPr>
          <w:rFonts w:ascii="Arial" w:hAnsi="Arial" w:cs="Arial"/>
          <w:b/>
          <w:bCs/>
          <w:color w:val="000000"/>
          <w:sz w:val="24"/>
          <w:szCs w:val="24"/>
          <w:u w:val="single"/>
          <w:lang w:eastAsia="en-GB"/>
        </w:rPr>
        <w:t>Actions sites need to take to prepare for the decommissioning and pausing of vaccines:</w:t>
      </w:r>
    </w:p>
    <w:p w14:paraId="024650EA" w14:textId="77777777" w:rsidR="003261B2" w:rsidRDefault="003261B2" w:rsidP="003261B2">
      <w:pPr>
        <w:rPr>
          <w:rFonts w:ascii="Arial" w:hAnsi="Arial" w:cs="Arial"/>
          <w:b/>
          <w:bCs/>
          <w:sz w:val="24"/>
          <w:szCs w:val="24"/>
          <w:u w:val="single"/>
          <w:lang w:eastAsia="en-GB"/>
        </w:rPr>
      </w:pPr>
    </w:p>
    <w:p w14:paraId="5E9AD156" w14:textId="77777777" w:rsidR="003261B2" w:rsidRDefault="003261B2" w:rsidP="003261B2">
      <w:pPr>
        <w:pStyle w:val="ListParagraph"/>
        <w:numPr>
          <w:ilvl w:val="0"/>
          <w:numId w:val="1"/>
        </w:numPr>
        <w:contextualSpacing/>
        <w:rPr>
          <w:rStyle w:val="normaltextrun"/>
          <w:rFonts w:eastAsia="Times New Roman"/>
        </w:rPr>
      </w:pPr>
      <w:r>
        <w:rPr>
          <w:rFonts w:ascii="Arial" w:eastAsia="Times New Roman" w:hAnsi="Arial" w:cs="Arial"/>
          <w:b/>
          <w:bCs/>
          <w:color w:val="000000"/>
          <w:sz w:val="24"/>
          <w:szCs w:val="24"/>
          <w:lang w:eastAsia="en-GB"/>
        </w:rPr>
        <w:t>Vaccine Supply</w:t>
      </w:r>
      <w:r>
        <w:rPr>
          <w:rFonts w:ascii="Arial" w:eastAsia="Times New Roman" w:hAnsi="Arial" w:cs="Arial"/>
          <w:color w:val="000000"/>
          <w:sz w:val="24"/>
          <w:szCs w:val="24"/>
          <w:lang w:eastAsia="en-GB"/>
        </w:rPr>
        <w:t xml:space="preserve">: All sites should check they are not holding stocks of any of the five vaccine types due to be paused or decommissioned. If stock is held, please ensure this is disposed of </w:t>
      </w:r>
      <w:r>
        <w:rPr>
          <w:rFonts w:ascii="Arial" w:eastAsia="Times New Roman" w:hAnsi="Arial" w:cs="Arial"/>
          <w:b/>
          <w:bCs/>
          <w:color w:val="000000"/>
          <w:sz w:val="24"/>
          <w:szCs w:val="24"/>
          <w:lang w:eastAsia="en-GB"/>
        </w:rPr>
        <w:t>immediately</w:t>
      </w:r>
      <w:r>
        <w:rPr>
          <w:rFonts w:ascii="Arial" w:eastAsia="Times New Roman" w:hAnsi="Arial" w:cs="Arial"/>
          <w:color w:val="000000"/>
          <w:sz w:val="24"/>
          <w:szCs w:val="24"/>
          <w:lang w:eastAsia="en-GB"/>
        </w:rPr>
        <w:t xml:space="preserve"> in line with </w:t>
      </w:r>
      <w:r>
        <w:rPr>
          <w:rStyle w:val="normaltextrun"/>
          <w:rFonts w:ascii="Arial" w:eastAsia="Times New Roman" w:hAnsi="Arial" w:cs="Arial"/>
          <w:color w:val="000000"/>
          <w:sz w:val="24"/>
          <w:szCs w:val="24"/>
          <w:lang w:val="en-US"/>
        </w:rPr>
        <w:t>your site's expired vaccine procedure, as this stock will have expired.</w:t>
      </w:r>
      <w:r>
        <w:rPr>
          <w:rFonts w:ascii="Arial" w:eastAsia="Times New Roman" w:hAnsi="Arial" w:cs="Arial"/>
          <w:sz w:val="24"/>
          <w:szCs w:val="24"/>
          <w:lang w:val="en-US"/>
        </w:rPr>
        <w:t xml:space="preserve"> </w:t>
      </w:r>
      <w:r>
        <w:rPr>
          <w:rStyle w:val="normaltextrun"/>
          <w:rFonts w:ascii="Arial" w:eastAsia="Times New Roman" w:hAnsi="Arial" w:cs="Arial"/>
          <w:color w:val="000000"/>
          <w:sz w:val="24"/>
          <w:szCs w:val="24"/>
          <w:shd w:val="clear" w:color="auto" w:fill="FFFFFF"/>
          <w:lang w:val="en-US"/>
        </w:rPr>
        <w:t xml:space="preserve">Please ensure wastage and stock take records are updated accordingly in Foundry Site Stock Manager. </w:t>
      </w:r>
    </w:p>
    <w:p w14:paraId="745DB026" w14:textId="77777777" w:rsidR="003261B2" w:rsidRDefault="003261B2" w:rsidP="003261B2">
      <w:pPr>
        <w:pStyle w:val="ListParagraph"/>
        <w:numPr>
          <w:ilvl w:val="0"/>
          <w:numId w:val="1"/>
        </w:numPr>
        <w:contextualSpacing/>
      </w:pPr>
      <w:r>
        <w:rPr>
          <w:rFonts w:ascii="Arial" w:eastAsia="Times New Roman" w:hAnsi="Arial" w:cs="Arial"/>
          <w:b/>
          <w:bCs/>
          <w:sz w:val="24"/>
          <w:szCs w:val="24"/>
        </w:rPr>
        <w:t>Vaccine Stocktake</w:t>
      </w:r>
      <w:r>
        <w:rPr>
          <w:rFonts w:ascii="Arial" w:eastAsia="Times New Roman" w:hAnsi="Arial" w:cs="Arial"/>
          <w:sz w:val="24"/>
          <w:szCs w:val="24"/>
        </w:rPr>
        <w:t>: All sites are requested to update their stocktake records, so they reflect a zero balance for all five vaccine types prior to the 17 August. It will no longer be possible to enter stocktakes for these 5 vaccine types after the 31 August.</w:t>
      </w:r>
    </w:p>
    <w:p w14:paraId="493BA5D4" w14:textId="77777777" w:rsidR="003261B2" w:rsidRDefault="003261B2" w:rsidP="003261B2">
      <w:pPr>
        <w:pStyle w:val="ListParagraph"/>
        <w:numPr>
          <w:ilvl w:val="0"/>
          <w:numId w:val="1"/>
        </w:numPr>
        <w:contextualSpacing/>
        <w:rPr>
          <w:rFonts w:ascii="Arial" w:eastAsia="Times New Roman" w:hAnsi="Arial" w:cs="Arial"/>
          <w:color w:val="000000"/>
          <w:sz w:val="24"/>
          <w:szCs w:val="24"/>
          <w:lang w:eastAsia="en-GB"/>
        </w:rPr>
      </w:pPr>
      <w:r>
        <w:rPr>
          <w:rFonts w:ascii="Arial" w:eastAsia="Times New Roman" w:hAnsi="Arial" w:cs="Arial"/>
          <w:b/>
          <w:bCs/>
          <w:color w:val="000000"/>
          <w:sz w:val="24"/>
          <w:szCs w:val="24"/>
          <w:lang w:eastAsia="en-GB"/>
        </w:rPr>
        <w:t>Patient Information Leaflets:</w:t>
      </w:r>
      <w:r>
        <w:rPr>
          <w:rFonts w:ascii="Arial" w:eastAsia="Times New Roman" w:hAnsi="Arial" w:cs="Arial"/>
          <w:color w:val="000000"/>
          <w:sz w:val="24"/>
          <w:szCs w:val="24"/>
          <w:lang w:eastAsia="en-GB"/>
        </w:rPr>
        <w:t xml:space="preserve"> All sites should review their stocks of Patient Information Leaflets (PILs) and dispose of any PILs relating to these five vaccine types, using your standard processes.</w:t>
      </w:r>
    </w:p>
    <w:p w14:paraId="105591F5" w14:textId="77777777" w:rsidR="003261B2" w:rsidRDefault="003261B2" w:rsidP="003261B2">
      <w:pPr>
        <w:pStyle w:val="ListParagraph"/>
        <w:numPr>
          <w:ilvl w:val="0"/>
          <w:numId w:val="1"/>
        </w:numPr>
        <w:contextualSpacing/>
        <w:rPr>
          <w:rFonts w:ascii="Arial" w:eastAsia="Times New Roman" w:hAnsi="Arial" w:cs="Arial"/>
          <w:color w:val="000000"/>
          <w:sz w:val="24"/>
          <w:szCs w:val="24"/>
          <w:lang w:eastAsia="en-GB"/>
        </w:rPr>
      </w:pPr>
      <w:r>
        <w:rPr>
          <w:rFonts w:ascii="Arial" w:eastAsia="Times New Roman" w:hAnsi="Arial" w:cs="Arial"/>
          <w:b/>
          <w:bCs/>
          <w:color w:val="000000"/>
          <w:sz w:val="24"/>
          <w:szCs w:val="24"/>
          <w:lang w:eastAsia="en-GB"/>
        </w:rPr>
        <w:t>Combined Needles and Syringes</w:t>
      </w:r>
      <w:r>
        <w:rPr>
          <w:rFonts w:ascii="Arial" w:eastAsia="Times New Roman" w:hAnsi="Arial" w:cs="Arial"/>
          <w:color w:val="000000"/>
          <w:sz w:val="24"/>
          <w:szCs w:val="24"/>
          <w:lang w:eastAsia="en-GB"/>
        </w:rPr>
        <w:t xml:space="preserve">: Sites that are still holding stocks of any combined needles and syringe (CNS) products that were specifically issued with the three vaccine types being decommissioned and that are not current in use with active vaccine types (see Appendix 1), should take one of the following actions if they cannot be used within your site: </w:t>
      </w:r>
    </w:p>
    <w:p w14:paraId="3DCD129C" w14:textId="77777777" w:rsidR="003261B2" w:rsidRDefault="003261B2" w:rsidP="003261B2">
      <w:pPr>
        <w:pStyle w:val="ListParagraph"/>
        <w:numPr>
          <w:ilvl w:val="1"/>
          <w:numId w:val="1"/>
        </w:numPr>
        <w:contextualSpacing/>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Offer them to other </w:t>
      </w:r>
      <w:r>
        <w:rPr>
          <w:rFonts w:ascii="Arial" w:eastAsia="Times New Roman" w:hAnsi="Arial" w:cs="Arial"/>
          <w:sz w:val="24"/>
          <w:szCs w:val="24"/>
        </w:rPr>
        <w:t xml:space="preserve">NHS or local settings providing NHS commissioned services within your ICB or </w:t>
      </w:r>
      <w:proofErr w:type="gramStart"/>
      <w:r>
        <w:rPr>
          <w:rFonts w:ascii="Arial" w:eastAsia="Times New Roman" w:hAnsi="Arial" w:cs="Arial"/>
          <w:sz w:val="24"/>
          <w:szCs w:val="24"/>
        </w:rPr>
        <w:t>region</w:t>
      </w:r>
      <w:proofErr w:type="gramEnd"/>
      <w:r>
        <w:rPr>
          <w:rFonts w:ascii="Arial" w:eastAsia="Times New Roman" w:hAnsi="Arial" w:cs="Arial"/>
          <w:sz w:val="24"/>
          <w:szCs w:val="24"/>
        </w:rPr>
        <w:t xml:space="preserve"> </w:t>
      </w:r>
    </w:p>
    <w:p w14:paraId="7F4FC3C2" w14:textId="77777777" w:rsidR="003261B2" w:rsidRDefault="003261B2" w:rsidP="003261B2">
      <w:pPr>
        <w:pStyle w:val="ListParagraph"/>
        <w:ind w:left="1080"/>
        <w:rPr>
          <w:rFonts w:ascii="Arial" w:hAnsi="Arial" w:cs="Arial"/>
          <w:b/>
          <w:bCs/>
          <w:color w:val="000000"/>
          <w:sz w:val="24"/>
          <w:szCs w:val="24"/>
          <w:lang w:eastAsia="en-GB"/>
        </w:rPr>
      </w:pPr>
      <w:r>
        <w:rPr>
          <w:rFonts w:ascii="Arial" w:hAnsi="Arial" w:cs="Arial"/>
          <w:b/>
          <w:bCs/>
          <w:sz w:val="24"/>
          <w:szCs w:val="24"/>
        </w:rPr>
        <w:t>or</w:t>
      </w:r>
    </w:p>
    <w:p w14:paraId="3215E88E" w14:textId="77777777" w:rsidR="003261B2" w:rsidRDefault="003261B2" w:rsidP="003261B2">
      <w:pPr>
        <w:pStyle w:val="ListParagraph"/>
        <w:numPr>
          <w:ilvl w:val="1"/>
          <w:numId w:val="1"/>
        </w:numPr>
        <w:contextualSpacing/>
        <w:rPr>
          <w:rFonts w:ascii="Arial" w:eastAsia="Times New Roman" w:hAnsi="Arial" w:cs="Arial"/>
          <w:color w:val="000000"/>
          <w:sz w:val="24"/>
          <w:szCs w:val="24"/>
          <w:lang w:eastAsia="en-GB"/>
        </w:rPr>
      </w:pPr>
      <w:r>
        <w:rPr>
          <w:rFonts w:ascii="Arial" w:eastAsia="Times New Roman" w:hAnsi="Arial" w:cs="Arial"/>
          <w:sz w:val="24"/>
          <w:szCs w:val="24"/>
        </w:rPr>
        <w:t xml:space="preserve">Remove them from stock in line with local sharps exiting </w:t>
      </w:r>
      <w:proofErr w:type="gramStart"/>
      <w:r>
        <w:rPr>
          <w:rFonts w:ascii="Arial" w:eastAsia="Times New Roman" w:hAnsi="Arial" w:cs="Arial"/>
          <w:sz w:val="24"/>
          <w:szCs w:val="24"/>
        </w:rPr>
        <w:t>procedures</w:t>
      </w:r>
      <w:proofErr w:type="gramEnd"/>
      <w:r>
        <w:rPr>
          <w:rFonts w:ascii="Arial" w:eastAsia="Times New Roman" w:hAnsi="Arial" w:cs="Arial"/>
          <w:sz w:val="24"/>
          <w:szCs w:val="24"/>
        </w:rPr>
        <w:t xml:space="preserve"> </w:t>
      </w:r>
    </w:p>
    <w:p w14:paraId="0D876BD3" w14:textId="77777777" w:rsidR="003261B2" w:rsidRDefault="003261B2" w:rsidP="003261B2">
      <w:pPr>
        <w:rPr>
          <w:rFonts w:ascii="Arial" w:hAnsi="Arial" w:cs="Arial"/>
          <w:sz w:val="24"/>
          <w:szCs w:val="24"/>
        </w:rPr>
      </w:pPr>
    </w:p>
    <w:p w14:paraId="1F404822" w14:textId="77777777" w:rsidR="003261B2" w:rsidRDefault="003261B2" w:rsidP="003261B2">
      <w:pPr>
        <w:rPr>
          <w:rFonts w:ascii="Arial" w:hAnsi="Arial" w:cs="Arial"/>
          <w:sz w:val="24"/>
          <w:szCs w:val="24"/>
        </w:rPr>
      </w:pPr>
      <w:r>
        <w:rPr>
          <w:rFonts w:ascii="Arial" w:hAnsi="Arial" w:cs="Arial"/>
          <w:sz w:val="24"/>
          <w:szCs w:val="24"/>
        </w:rPr>
        <w:t>Thank you for your ongoing commitment to the programme.</w:t>
      </w:r>
    </w:p>
    <w:p w14:paraId="001C08F6" w14:textId="77777777" w:rsidR="003261B2" w:rsidRDefault="003261B2" w:rsidP="003261B2">
      <w:pPr>
        <w:rPr>
          <w:rFonts w:ascii="Arial" w:hAnsi="Arial" w:cs="Arial"/>
          <w:sz w:val="24"/>
          <w:szCs w:val="24"/>
        </w:rPr>
      </w:pPr>
    </w:p>
    <w:p w14:paraId="4E907938" w14:textId="77777777" w:rsidR="003261B2" w:rsidRDefault="003261B2" w:rsidP="003261B2">
      <w:pPr>
        <w:rPr>
          <w:rFonts w:ascii="Arial" w:hAnsi="Arial" w:cs="Arial"/>
          <w:sz w:val="24"/>
          <w:szCs w:val="24"/>
        </w:rPr>
      </w:pPr>
      <w:r>
        <w:rPr>
          <w:rFonts w:ascii="Arial" w:hAnsi="Arial" w:cs="Arial"/>
          <w:sz w:val="24"/>
          <w:szCs w:val="24"/>
        </w:rPr>
        <w:t>Kind regards,</w:t>
      </w:r>
    </w:p>
    <w:p w14:paraId="17872780" w14:textId="77777777" w:rsidR="003261B2" w:rsidRDefault="003261B2" w:rsidP="003261B2">
      <w:pPr>
        <w:rPr>
          <w:rFonts w:ascii="Arial" w:hAnsi="Arial" w:cs="Arial"/>
          <w:sz w:val="24"/>
          <w:szCs w:val="24"/>
        </w:rPr>
      </w:pPr>
    </w:p>
    <w:p w14:paraId="3703064F" w14:textId="77777777" w:rsidR="003261B2" w:rsidRDefault="003261B2" w:rsidP="003261B2">
      <w:pPr>
        <w:rPr>
          <w:rFonts w:ascii="Arial" w:hAnsi="Arial" w:cs="Arial"/>
          <w:sz w:val="24"/>
          <w:szCs w:val="24"/>
        </w:rPr>
      </w:pPr>
      <w:r>
        <w:rPr>
          <w:rFonts w:ascii="Arial" w:hAnsi="Arial" w:cs="Arial"/>
          <w:sz w:val="24"/>
          <w:szCs w:val="24"/>
        </w:rPr>
        <w:t xml:space="preserve">Caroline </w:t>
      </w:r>
      <w:proofErr w:type="spellStart"/>
      <w:r>
        <w:rPr>
          <w:rFonts w:ascii="Arial" w:hAnsi="Arial" w:cs="Arial"/>
          <w:sz w:val="24"/>
          <w:szCs w:val="24"/>
        </w:rPr>
        <w:t>Temmink</w:t>
      </w:r>
      <w:proofErr w:type="spellEnd"/>
      <w:r>
        <w:rPr>
          <w:rFonts w:ascii="Arial" w:hAnsi="Arial" w:cs="Arial"/>
          <w:sz w:val="24"/>
          <w:szCs w:val="24"/>
        </w:rPr>
        <w:t xml:space="preserve"> and Steve Gibb</w:t>
      </w:r>
    </w:p>
    <w:p w14:paraId="0A15D001" w14:textId="77777777" w:rsidR="003261B2" w:rsidRDefault="003261B2" w:rsidP="003261B2">
      <w:pPr>
        <w:rPr>
          <w:rFonts w:ascii="Arial" w:hAnsi="Arial" w:cs="Arial"/>
          <w:color w:val="000000"/>
          <w:sz w:val="24"/>
          <w:szCs w:val="24"/>
          <w:lang w:eastAsia="en-GB"/>
        </w:rPr>
      </w:pPr>
    </w:p>
    <w:p w14:paraId="01D97EE6" w14:textId="77777777" w:rsidR="003261B2" w:rsidRDefault="003261B2" w:rsidP="003261B2">
      <w:pPr>
        <w:rPr>
          <w:rFonts w:ascii="Arial" w:hAnsi="Arial" w:cs="Arial"/>
          <w:b/>
          <w:bCs/>
          <w:color w:val="000000"/>
          <w:sz w:val="24"/>
          <w:szCs w:val="24"/>
          <w:lang w:eastAsia="en-GB"/>
        </w:rPr>
      </w:pPr>
      <w:r>
        <w:rPr>
          <w:rFonts w:ascii="Arial" w:hAnsi="Arial" w:cs="Arial"/>
          <w:b/>
          <w:bCs/>
          <w:color w:val="000000"/>
          <w:sz w:val="24"/>
          <w:szCs w:val="24"/>
          <w:lang w:eastAsia="en-GB"/>
        </w:rPr>
        <w:t>Appendix 1: Table of current CNS in use within the Vaccine Deployment Programme, which must be retained:</w:t>
      </w:r>
    </w:p>
    <w:p w14:paraId="0FE5EA71" w14:textId="77777777" w:rsidR="003261B2" w:rsidRDefault="003261B2" w:rsidP="003261B2">
      <w:pPr>
        <w:rPr>
          <w:rFonts w:ascii="Arial" w:hAnsi="Arial" w:cs="Arial"/>
          <w:color w:val="000000"/>
          <w:sz w:val="24"/>
          <w:szCs w:val="24"/>
          <w:lang w:eastAsia="en-GB"/>
        </w:rPr>
      </w:pPr>
    </w:p>
    <w:tbl>
      <w:tblPr>
        <w:tblW w:w="10267" w:type="dxa"/>
        <w:tblCellMar>
          <w:left w:w="0" w:type="dxa"/>
          <w:right w:w="0" w:type="dxa"/>
        </w:tblCellMar>
        <w:tblLook w:val="04A0" w:firstRow="1" w:lastRow="0" w:firstColumn="1" w:lastColumn="0" w:noHBand="0" w:noVBand="1"/>
      </w:tblPr>
      <w:tblGrid>
        <w:gridCol w:w="2818"/>
        <w:gridCol w:w="2257"/>
        <w:gridCol w:w="2822"/>
        <w:gridCol w:w="2370"/>
      </w:tblGrid>
      <w:tr w:rsidR="003261B2" w14:paraId="627DA030" w14:textId="77777777" w:rsidTr="003261B2">
        <w:trPr>
          <w:trHeight w:val="317"/>
        </w:trPr>
        <w:tc>
          <w:tcPr>
            <w:tcW w:w="2818"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25F9CF7" w14:textId="77777777" w:rsidR="003261B2" w:rsidRDefault="003261B2">
            <w:pPr>
              <w:rPr>
                <w:rFonts w:ascii="Arial" w:hAnsi="Arial" w:cs="Arial"/>
                <w:b/>
                <w:bCs/>
                <w:color w:val="000000"/>
                <w:sz w:val="24"/>
                <w:szCs w:val="24"/>
                <w:lang w:eastAsia="en-GB"/>
              </w:rPr>
            </w:pPr>
            <w:r>
              <w:rPr>
                <w:rFonts w:ascii="Arial" w:hAnsi="Arial" w:cs="Arial"/>
                <w:b/>
                <w:bCs/>
                <w:color w:val="000000"/>
                <w:sz w:val="24"/>
                <w:szCs w:val="24"/>
                <w:lang w:eastAsia="en-GB"/>
              </w:rPr>
              <w:t>Vaccine</w:t>
            </w:r>
          </w:p>
        </w:tc>
        <w:tc>
          <w:tcPr>
            <w:tcW w:w="22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91564C8" w14:textId="77777777" w:rsidR="003261B2" w:rsidRDefault="003261B2">
            <w:pPr>
              <w:rPr>
                <w:rFonts w:ascii="Arial" w:hAnsi="Arial" w:cs="Arial"/>
                <w:b/>
                <w:bCs/>
                <w:color w:val="000000"/>
                <w:sz w:val="24"/>
                <w:szCs w:val="24"/>
                <w:lang w:eastAsia="en-GB"/>
              </w:rPr>
            </w:pPr>
            <w:r>
              <w:rPr>
                <w:rFonts w:ascii="Arial" w:hAnsi="Arial" w:cs="Arial"/>
                <w:b/>
                <w:bCs/>
                <w:color w:val="000000"/>
                <w:sz w:val="24"/>
                <w:szCs w:val="24"/>
                <w:lang w:eastAsia="en-GB"/>
              </w:rPr>
              <w:t>Admin CNS</w:t>
            </w:r>
          </w:p>
        </w:tc>
        <w:tc>
          <w:tcPr>
            <w:tcW w:w="282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C81737" w14:textId="77777777" w:rsidR="003261B2" w:rsidRDefault="003261B2">
            <w:pPr>
              <w:rPr>
                <w:rFonts w:ascii="Arial" w:hAnsi="Arial" w:cs="Arial"/>
                <w:b/>
                <w:bCs/>
                <w:color w:val="000000"/>
                <w:sz w:val="24"/>
                <w:szCs w:val="24"/>
                <w:lang w:eastAsia="en-GB"/>
              </w:rPr>
            </w:pPr>
            <w:r>
              <w:rPr>
                <w:rFonts w:ascii="Arial" w:hAnsi="Arial" w:cs="Arial"/>
                <w:b/>
                <w:bCs/>
                <w:color w:val="000000"/>
                <w:sz w:val="24"/>
                <w:szCs w:val="24"/>
                <w:lang w:eastAsia="en-GB"/>
              </w:rPr>
              <w:t>Admin MO CNS</w:t>
            </w:r>
          </w:p>
        </w:tc>
        <w:tc>
          <w:tcPr>
            <w:tcW w:w="237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7B2F5931" w14:textId="77777777" w:rsidR="003261B2" w:rsidRDefault="003261B2">
            <w:pPr>
              <w:rPr>
                <w:rFonts w:ascii="Arial" w:hAnsi="Arial" w:cs="Arial"/>
                <w:b/>
                <w:bCs/>
                <w:color w:val="000000"/>
                <w:sz w:val="24"/>
                <w:szCs w:val="24"/>
                <w:lang w:eastAsia="en-GB"/>
              </w:rPr>
            </w:pPr>
            <w:r>
              <w:rPr>
                <w:rFonts w:ascii="Arial" w:hAnsi="Arial" w:cs="Arial"/>
                <w:b/>
                <w:bCs/>
                <w:color w:val="000000"/>
                <w:sz w:val="24"/>
                <w:szCs w:val="24"/>
                <w:lang w:eastAsia="en-GB"/>
              </w:rPr>
              <w:t>Dilution</w:t>
            </w:r>
          </w:p>
        </w:tc>
      </w:tr>
      <w:tr w:rsidR="003261B2" w14:paraId="522129EE" w14:textId="77777777" w:rsidTr="003261B2">
        <w:trPr>
          <w:trHeight w:val="317"/>
        </w:trPr>
        <w:tc>
          <w:tcPr>
            <w:tcW w:w="2818" w:type="dxa"/>
            <w:tcBorders>
              <w:top w:val="nil"/>
              <w:left w:val="single" w:sz="8" w:space="0" w:color="auto"/>
              <w:bottom w:val="single" w:sz="8" w:space="0" w:color="auto"/>
              <w:right w:val="single" w:sz="8" w:space="0" w:color="auto"/>
            </w:tcBorders>
            <w:shd w:val="clear" w:color="auto" w:fill="C6E0B4"/>
            <w:noWrap/>
            <w:tcMar>
              <w:top w:w="0" w:type="dxa"/>
              <w:left w:w="108" w:type="dxa"/>
              <w:bottom w:w="0" w:type="dxa"/>
              <w:right w:w="108" w:type="dxa"/>
            </w:tcMar>
            <w:vAlign w:val="center"/>
            <w:hideMark/>
          </w:tcPr>
          <w:p w14:paraId="08774727"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Comirnaty 10 Concentrate</w:t>
            </w:r>
          </w:p>
        </w:tc>
        <w:tc>
          <w:tcPr>
            <w:tcW w:w="2257" w:type="dxa"/>
            <w:tcBorders>
              <w:top w:val="nil"/>
              <w:left w:val="nil"/>
              <w:bottom w:val="single" w:sz="8" w:space="0" w:color="auto"/>
              <w:right w:val="single" w:sz="8" w:space="0" w:color="auto"/>
            </w:tcBorders>
            <w:shd w:val="clear" w:color="auto" w:fill="C6E0B4"/>
            <w:noWrap/>
            <w:tcMar>
              <w:top w:w="0" w:type="dxa"/>
              <w:left w:w="108" w:type="dxa"/>
              <w:bottom w:w="0" w:type="dxa"/>
              <w:right w:w="108" w:type="dxa"/>
            </w:tcMar>
            <w:vAlign w:val="center"/>
            <w:hideMark/>
          </w:tcPr>
          <w:p w14:paraId="62F1645B"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 xml:space="preserve">GBUK </w:t>
            </w:r>
            <w:proofErr w:type="spellStart"/>
            <w:r>
              <w:rPr>
                <w:rFonts w:ascii="Arial" w:hAnsi="Arial" w:cs="Arial"/>
                <w:color w:val="000000"/>
                <w:sz w:val="24"/>
                <w:szCs w:val="24"/>
                <w:lang w:eastAsia="en-GB"/>
              </w:rPr>
              <w:t>Prosum</w:t>
            </w:r>
            <w:proofErr w:type="spellEnd"/>
            <w:r>
              <w:rPr>
                <w:rFonts w:ascii="Arial" w:hAnsi="Arial" w:cs="Arial"/>
                <w:color w:val="000000"/>
                <w:sz w:val="24"/>
                <w:szCs w:val="24"/>
                <w:lang w:eastAsia="en-GB"/>
              </w:rPr>
              <w:t xml:space="preserve"> 23g x 25mm, 1ml</w:t>
            </w:r>
          </w:p>
        </w:tc>
        <w:tc>
          <w:tcPr>
            <w:tcW w:w="2822" w:type="dxa"/>
            <w:tcBorders>
              <w:top w:val="nil"/>
              <w:left w:val="nil"/>
              <w:bottom w:val="single" w:sz="8" w:space="0" w:color="auto"/>
              <w:right w:val="single" w:sz="8" w:space="0" w:color="auto"/>
            </w:tcBorders>
            <w:shd w:val="clear" w:color="auto" w:fill="C6E0B4"/>
            <w:noWrap/>
            <w:tcMar>
              <w:top w:w="0" w:type="dxa"/>
              <w:left w:w="108" w:type="dxa"/>
              <w:bottom w:w="0" w:type="dxa"/>
              <w:right w:w="108" w:type="dxa"/>
            </w:tcMar>
            <w:vAlign w:val="center"/>
            <w:hideMark/>
          </w:tcPr>
          <w:p w14:paraId="61A3D1F2"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 xml:space="preserve">GBUK </w:t>
            </w:r>
            <w:proofErr w:type="spellStart"/>
            <w:r>
              <w:rPr>
                <w:rFonts w:ascii="Arial" w:hAnsi="Arial" w:cs="Arial"/>
                <w:color w:val="000000"/>
                <w:sz w:val="24"/>
                <w:szCs w:val="24"/>
                <w:lang w:eastAsia="en-GB"/>
              </w:rPr>
              <w:t>Prosum</w:t>
            </w:r>
            <w:proofErr w:type="spellEnd"/>
            <w:r>
              <w:rPr>
                <w:rFonts w:ascii="Arial" w:hAnsi="Arial" w:cs="Arial"/>
                <w:color w:val="000000"/>
                <w:sz w:val="24"/>
                <w:szCs w:val="24"/>
                <w:lang w:eastAsia="en-GB"/>
              </w:rPr>
              <w:t xml:space="preserve"> 21g x 38mm Needle only</w:t>
            </w:r>
          </w:p>
        </w:tc>
        <w:tc>
          <w:tcPr>
            <w:tcW w:w="2370" w:type="dxa"/>
            <w:tcBorders>
              <w:top w:val="nil"/>
              <w:left w:val="nil"/>
              <w:bottom w:val="single" w:sz="8" w:space="0" w:color="auto"/>
              <w:right w:val="single" w:sz="8" w:space="0" w:color="auto"/>
            </w:tcBorders>
            <w:shd w:val="clear" w:color="auto" w:fill="C6E0B4"/>
            <w:noWrap/>
            <w:tcMar>
              <w:top w:w="0" w:type="dxa"/>
              <w:left w:w="108" w:type="dxa"/>
              <w:bottom w:w="0" w:type="dxa"/>
              <w:right w:w="108" w:type="dxa"/>
            </w:tcMar>
            <w:vAlign w:val="center"/>
            <w:hideMark/>
          </w:tcPr>
          <w:p w14:paraId="64BA176A"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 xml:space="preserve">BD </w:t>
            </w:r>
            <w:proofErr w:type="spellStart"/>
            <w:r>
              <w:rPr>
                <w:rFonts w:ascii="Arial" w:hAnsi="Arial" w:cs="Arial"/>
                <w:color w:val="000000"/>
                <w:sz w:val="24"/>
                <w:szCs w:val="24"/>
                <w:lang w:eastAsia="en-GB"/>
              </w:rPr>
              <w:t>Discardit</w:t>
            </w:r>
            <w:proofErr w:type="spellEnd"/>
            <w:r>
              <w:rPr>
                <w:rFonts w:ascii="Arial" w:hAnsi="Arial" w:cs="Arial"/>
                <w:color w:val="000000"/>
                <w:sz w:val="24"/>
                <w:szCs w:val="24"/>
                <w:lang w:eastAsia="en-GB"/>
              </w:rPr>
              <w:t xml:space="preserve"> 23g x 25mm, 2ml</w:t>
            </w:r>
          </w:p>
        </w:tc>
      </w:tr>
      <w:tr w:rsidR="003261B2" w14:paraId="4DB2BF32" w14:textId="77777777" w:rsidTr="003261B2">
        <w:trPr>
          <w:trHeight w:val="317"/>
        </w:trPr>
        <w:tc>
          <w:tcPr>
            <w:tcW w:w="2818" w:type="dxa"/>
            <w:tcBorders>
              <w:top w:val="nil"/>
              <w:left w:val="single" w:sz="8" w:space="0" w:color="auto"/>
              <w:bottom w:val="single" w:sz="8" w:space="0" w:color="auto"/>
              <w:right w:val="single" w:sz="8" w:space="0" w:color="auto"/>
            </w:tcBorders>
            <w:shd w:val="clear" w:color="auto" w:fill="92D050"/>
            <w:noWrap/>
            <w:tcMar>
              <w:top w:w="0" w:type="dxa"/>
              <w:left w:w="108" w:type="dxa"/>
              <w:bottom w:w="0" w:type="dxa"/>
              <w:right w:w="108" w:type="dxa"/>
            </w:tcMar>
            <w:vAlign w:val="center"/>
            <w:hideMark/>
          </w:tcPr>
          <w:p w14:paraId="5D5262EE"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Comirnaty Bivalent BA.4-5</w:t>
            </w:r>
          </w:p>
        </w:tc>
        <w:tc>
          <w:tcPr>
            <w:tcW w:w="2257" w:type="dxa"/>
            <w:tcBorders>
              <w:top w:val="nil"/>
              <w:left w:val="nil"/>
              <w:bottom w:val="single" w:sz="8" w:space="0" w:color="auto"/>
              <w:right w:val="single" w:sz="8" w:space="0" w:color="auto"/>
            </w:tcBorders>
            <w:shd w:val="clear" w:color="auto" w:fill="92D050"/>
            <w:noWrap/>
            <w:tcMar>
              <w:top w:w="0" w:type="dxa"/>
              <w:left w:w="108" w:type="dxa"/>
              <w:bottom w:w="0" w:type="dxa"/>
              <w:right w:w="108" w:type="dxa"/>
            </w:tcMar>
            <w:vAlign w:val="center"/>
            <w:hideMark/>
          </w:tcPr>
          <w:p w14:paraId="3CAA2BA3"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GBUK/</w:t>
            </w:r>
            <w:proofErr w:type="spellStart"/>
            <w:r>
              <w:rPr>
                <w:rFonts w:ascii="Arial" w:hAnsi="Arial" w:cs="Arial"/>
                <w:color w:val="000000"/>
                <w:sz w:val="24"/>
                <w:szCs w:val="24"/>
                <w:lang w:eastAsia="en-GB"/>
              </w:rPr>
              <w:t>Caina</w:t>
            </w:r>
            <w:proofErr w:type="spellEnd"/>
            <w:r>
              <w:rPr>
                <w:rFonts w:ascii="Arial" w:hAnsi="Arial" w:cs="Arial"/>
                <w:color w:val="000000"/>
                <w:sz w:val="24"/>
                <w:szCs w:val="24"/>
                <w:lang w:eastAsia="en-GB"/>
              </w:rPr>
              <w:t xml:space="preserve"> 25g x 25mm, 1ml safety CNS</w:t>
            </w:r>
          </w:p>
        </w:tc>
        <w:tc>
          <w:tcPr>
            <w:tcW w:w="2822" w:type="dxa"/>
            <w:tcBorders>
              <w:top w:val="nil"/>
              <w:left w:val="nil"/>
              <w:bottom w:val="single" w:sz="8" w:space="0" w:color="auto"/>
              <w:right w:val="single" w:sz="8" w:space="0" w:color="auto"/>
            </w:tcBorders>
            <w:shd w:val="clear" w:color="auto" w:fill="92D050"/>
            <w:noWrap/>
            <w:tcMar>
              <w:top w:w="0" w:type="dxa"/>
              <w:left w:w="108" w:type="dxa"/>
              <w:bottom w:w="0" w:type="dxa"/>
              <w:right w:w="108" w:type="dxa"/>
            </w:tcMar>
            <w:vAlign w:val="center"/>
            <w:hideMark/>
          </w:tcPr>
          <w:p w14:paraId="6758EA9F"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Reliance 25g x 38mm, 1ml safety CNS</w:t>
            </w:r>
          </w:p>
        </w:tc>
        <w:tc>
          <w:tcPr>
            <w:tcW w:w="2370" w:type="dxa"/>
            <w:tcBorders>
              <w:top w:val="nil"/>
              <w:left w:val="nil"/>
              <w:bottom w:val="single" w:sz="8" w:space="0" w:color="auto"/>
              <w:right w:val="single" w:sz="8" w:space="0" w:color="auto"/>
            </w:tcBorders>
            <w:shd w:val="clear" w:color="auto" w:fill="92D050"/>
            <w:noWrap/>
            <w:tcMar>
              <w:top w:w="0" w:type="dxa"/>
              <w:left w:w="108" w:type="dxa"/>
              <w:bottom w:w="0" w:type="dxa"/>
              <w:right w:w="108" w:type="dxa"/>
            </w:tcMar>
            <w:vAlign w:val="center"/>
            <w:hideMark/>
          </w:tcPr>
          <w:p w14:paraId="592DD0DE"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N/A</w:t>
            </w:r>
          </w:p>
        </w:tc>
      </w:tr>
      <w:tr w:rsidR="003261B2" w14:paraId="6AF872CF" w14:textId="77777777" w:rsidTr="003261B2">
        <w:trPr>
          <w:trHeight w:val="317"/>
        </w:trPr>
        <w:tc>
          <w:tcPr>
            <w:tcW w:w="2818" w:type="dxa"/>
            <w:tcBorders>
              <w:top w:val="nil"/>
              <w:left w:val="single" w:sz="8" w:space="0" w:color="auto"/>
              <w:bottom w:val="single" w:sz="8" w:space="0" w:color="auto"/>
              <w:right w:val="single" w:sz="8" w:space="0" w:color="auto"/>
            </w:tcBorders>
            <w:shd w:val="clear" w:color="auto" w:fill="92D050"/>
            <w:noWrap/>
            <w:tcMar>
              <w:top w:w="0" w:type="dxa"/>
              <w:left w:w="108" w:type="dxa"/>
              <w:bottom w:w="0" w:type="dxa"/>
              <w:right w:w="108" w:type="dxa"/>
            </w:tcMar>
            <w:vAlign w:val="center"/>
            <w:hideMark/>
          </w:tcPr>
          <w:p w14:paraId="5D5DC63E"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lastRenderedPageBreak/>
              <w:t>Comirnaty Bivalent BA.1 (paused)</w:t>
            </w:r>
          </w:p>
        </w:tc>
        <w:tc>
          <w:tcPr>
            <w:tcW w:w="2257" w:type="dxa"/>
            <w:tcBorders>
              <w:top w:val="nil"/>
              <w:left w:val="nil"/>
              <w:bottom w:val="single" w:sz="8" w:space="0" w:color="auto"/>
              <w:right w:val="single" w:sz="8" w:space="0" w:color="auto"/>
            </w:tcBorders>
            <w:shd w:val="clear" w:color="auto" w:fill="92D050"/>
            <w:noWrap/>
            <w:tcMar>
              <w:top w:w="0" w:type="dxa"/>
              <w:left w:w="108" w:type="dxa"/>
              <w:bottom w:w="0" w:type="dxa"/>
              <w:right w:w="108" w:type="dxa"/>
            </w:tcMar>
            <w:vAlign w:val="center"/>
            <w:hideMark/>
          </w:tcPr>
          <w:p w14:paraId="718B13A2"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GBUK/</w:t>
            </w:r>
            <w:proofErr w:type="spellStart"/>
            <w:r>
              <w:rPr>
                <w:rFonts w:ascii="Arial" w:hAnsi="Arial" w:cs="Arial"/>
                <w:color w:val="000000"/>
                <w:sz w:val="24"/>
                <w:szCs w:val="24"/>
                <w:lang w:eastAsia="en-GB"/>
              </w:rPr>
              <w:t>Caina</w:t>
            </w:r>
            <w:proofErr w:type="spellEnd"/>
            <w:r>
              <w:rPr>
                <w:rFonts w:ascii="Arial" w:hAnsi="Arial" w:cs="Arial"/>
                <w:color w:val="000000"/>
                <w:sz w:val="24"/>
                <w:szCs w:val="24"/>
                <w:lang w:eastAsia="en-GB"/>
              </w:rPr>
              <w:t xml:space="preserve"> 25g x 25mm, 1ml safety CNS</w:t>
            </w:r>
          </w:p>
        </w:tc>
        <w:tc>
          <w:tcPr>
            <w:tcW w:w="2822" w:type="dxa"/>
            <w:tcBorders>
              <w:top w:val="nil"/>
              <w:left w:val="nil"/>
              <w:bottom w:val="single" w:sz="8" w:space="0" w:color="auto"/>
              <w:right w:val="single" w:sz="8" w:space="0" w:color="auto"/>
            </w:tcBorders>
            <w:shd w:val="clear" w:color="auto" w:fill="92D050"/>
            <w:noWrap/>
            <w:tcMar>
              <w:top w:w="0" w:type="dxa"/>
              <w:left w:w="108" w:type="dxa"/>
              <w:bottom w:w="0" w:type="dxa"/>
              <w:right w:w="108" w:type="dxa"/>
            </w:tcMar>
            <w:vAlign w:val="center"/>
            <w:hideMark/>
          </w:tcPr>
          <w:p w14:paraId="7F7D2941"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 xml:space="preserve">GBUK </w:t>
            </w:r>
            <w:proofErr w:type="spellStart"/>
            <w:r>
              <w:rPr>
                <w:rFonts w:ascii="Arial" w:hAnsi="Arial" w:cs="Arial"/>
                <w:color w:val="000000"/>
                <w:sz w:val="24"/>
                <w:szCs w:val="24"/>
                <w:lang w:eastAsia="en-GB"/>
              </w:rPr>
              <w:t>Prosum</w:t>
            </w:r>
            <w:proofErr w:type="spellEnd"/>
            <w:r>
              <w:rPr>
                <w:rFonts w:ascii="Arial" w:hAnsi="Arial" w:cs="Arial"/>
                <w:color w:val="000000"/>
                <w:sz w:val="24"/>
                <w:szCs w:val="24"/>
                <w:lang w:eastAsia="en-GB"/>
              </w:rPr>
              <w:t xml:space="preserve"> 21g x 38mm Needle only</w:t>
            </w:r>
          </w:p>
        </w:tc>
        <w:tc>
          <w:tcPr>
            <w:tcW w:w="2370" w:type="dxa"/>
            <w:tcBorders>
              <w:top w:val="nil"/>
              <w:left w:val="nil"/>
              <w:bottom w:val="single" w:sz="8" w:space="0" w:color="auto"/>
              <w:right w:val="single" w:sz="8" w:space="0" w:color="auto"/>
            </w:tcBorders>
            <w:shd w:val="clear" w:color="auto" w:fill="92D050"/>
            <w:noWrap/>
            <w:tcMar>
              <w:top w:w="0" w:type="dxa"/>
              <w:left w:w="108" w:type="dxa"/>
              <w:bottom w:w="0" w:type="dxa"/>
              <w:right w:w="108" w:type="dxa"/>
            </w:tcMar>
            <w:vAlign w:val="center"/>
            <w:hideMark/>
          </w:tcPr>
          <w:p w14:paraId="7FA4A91B"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N/A</w:t>
            </w:r>
          </w:p>
        </w:tc>
      </w:tr>
      <w:tr w:rsidR="003261B2" w14:paraId="3EEDF5DA" w14:textId="77777777" w:rsidTr="003261B2">
        <w:trPr>
          <w:trHeight w:val="317"/>
        </w:trPr>
        <w:tc>
          <w:tcPr>
            <w:tcW w:w="2818" w:type="dxa"/>
            <w:tcBorders>
              <w:top w:val="nil"/>
              <w:left w:val="single" w:sz="8" w:space="0" w:color="auto"/>
              <w:bottom w:val="single" w:sz="8" w:space="0" w:color="auto"/>
              <w:right w:val="nil"/>
            </w:tcBorders>
            <w:shd w:val="clear" w:color="auto" w:fill="00B050"/>
            <w:noWrap/>
            <w:tcMar>
              <w:top w:w="0" w:type="dxa"/>
              <w:left w:w="108" w:type="dxa"/>
              <w:bottom w:w="0" w:type="dxa"/>
              <w:right w:w="108" w:type="dxa"/>
            </w:tcMar>
            <w:vAlign w:val="center"/>
            <w:hideMark/>
          </w:tcPr>
          <w:p w14:paraId="58594EBB"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Comirnaty 3 infant</w:t>
            </w:r>
          </w:p>
        </w:tc>
        <w:tc>
          <w:tcPr>
            <w:tcW w:w="2257" w:type="dxa"/>
            <w:tcBorders>
              <w:top w:val="nil"/>
              <w:left w:val="single" w:sz="8" w:space="0" w:color="auto"/>
              <w:bottom w:val="single" w:sz="8" w:space="0" w:color="auto"/>
              <w:right w:val="single" w:sz="8" w:space="0" w:color="auto"/>
            </w:tcBorders>
            <w:shd w:val="clear" w:color="auto" w:fill="00B050"/>
            <w:noWrap/>
            <w:tcMar>
              <w:top w:w="0" w:type="dxa"/>
              <w:left w:w="108" w:type="dxa"/>
              <w:bottom w:w="0" w:type="dxa"/>
              <w:right w:w="108" w:type="dxa"/>
            </w:tcMar>
            <w:vAlign w:val="bottom"/>
            <w:hideMark/>
          </w:tcPr>
          <w:p w14:paraId="752E4C8C"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GBUK/</w:t>
            </w:r>
            <w:proofErr w:type="spellStart"/>
            <w:r>
              <w:rPr>
                <w:rFonts w:ascii="Arial" w:hAnsi="Arial" w:cs="Arial"/>
                <w:color w:val="000000"/>
                <w:sz w:val="24"/>
                <w:szCs w:val="24"/>
                <w:lang w:eastAsia="en-GB"/>
              </w:rPr>
              <w:t>Caina</w:t>
            </w:r>
            <w:proofErr w:type="spellEnd"/>
            <w:r>
              <w:rPr>
                <w:rFonts w:ascii="Arial" w:hAnsi="Arial" w:cs="Arial"/>
                <w:color w:val="000000"/>
                <w:sz w:val="24"/>
                <w:szCs w:val="24"/>
                <w:lang w:eastAsia="en-GB"/>
              </w:rPr>
              <w:t xml:space="preserve"> 25g x 25mm, 1ml safety CNS</w:t>
            </w:r>
          </w:p>
        </w:tc>
        <w:tc>
          <w:tcPr>
            <w:tcW w:w="2822" w:type="dxa"/>
            <w:tcBorders>
              <w:top w:val="nil"/>
              <w:left w:val="nil"/>
              <w:bottom w:val="single" w:sz="8" w:space="0" w:color="auto"/>
              <w:right w:val="single" w:sz="8" w:space="0" w:color="auto"/>
            </w:tcBorders>
            <w:shd w:val="clear" w:color="auto" w:fill="00B050"/>
            <w:noWrap/>
            <w:tcMar>
              <w:top w:w="0" w:type="dxa"/>
              <w:left w:w="108" w:type="dxa"/>
              <w:bottom w:w="0" w:type="dxa"/>
              <w:right w:w="108" w:type="dxa"/>
            </w:tcMar>
            <w:vAlign w:val="center"/>
            <w:hideMark/>
          </w:tcPr>
          <w:p w14:paraId="0C3B974A"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N/A</w:t>
            </w:r>
          </w:p>
        </w:tc>
        <w:tc>
          <w:tcPr>
            <w:tcW w:w="2370" w:type="dxa"/>
            <w:tcBorders>
              <w:top w:val="nil"/>
              <w:left w:val="nil"/>
              <w:bottom w:val="single" w:sz="8" w:space="0" w:color="auto"/>
              <w:right w:val="single" w:sz="8" w:space="0" w:color="auto"/>
            </w:tcBorders>
            <w:shd w:val="clear" w:color="auto" w:fill="00B050"/>
            <w:noWrap/>
            <w:tcMar>
              <w:top w:w="0" w:type="dxa"/>
              <w:left w:w="108" w:type="dxa"/>
              <w:bottom w:w="0" w:type="dxa"/>
              <w:right w:w="108" w:type="dxa"/>
            </w:tcMar>
            <w:vAlign w:val="center"/>
            <w:hideMark/>
          </w:tcPr>
          <w:p w14:paraId="6527B23F"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 xml:space="preserve">Griffiths and </w:t>
            </w:r>
            <w:proofErr w:type="spellStart"/>
            <w:r>
              <w:rPr>
                <w:rFonts w:ascii="Arial" w:hAnsi="Arial" w:cs="Arial"/>
                <w:color w:val="000000"/>
                <w:sz w:val="24"/>
                <w:szCs w:val="24"/>
                <w:lang w:eastAsia="en-GB"/>
              </w:rPr>
              <w:t>Neilsen</w:t>
            </w:r>
            <w:proofErr w:type="spellEnd"/>
            <w:r>
              <w:rPr>
                <w:rFonts w:ascii="Arial" w:hAnsi="Arial" w:cs="Arial"/>
                <w:color w:val="000000"/>
                <w:sz w:val="24"/>
                <w:szCs w:val="24"/>
                <w:lang w:eastAsia="en-GB"/>
              </w:rPr>
              <w:t xml:space="preserve"> 21g x 38mm safety CNS</w:t>
            </w:r>
          </w:p>
        </w:tc>
      </w:tr>
      <w:tr w:rsidR="003261B2" w14:paraId="2DCA08CC" w14:textId="77777777" w:rsidTr="003261B2">
        <w:trPr>
          <w:trHeight w:val="317"/>
        </w:trPr>
        <w:tc>
          <w:tcPr>
            <w:tcW w:w="2818" w:type="dxa"/>
            <w:tcBorders>
              <w:top w:val="nil"/>
              <w:left w:val="single" w:sz="8" w:space="0" w:color="auto"/>
              <w:bottom w:val="single" w:sz="8" w:space="0" w:color="auto"/>
              <w:right w:val="single" w:sz="8" w:space="0" w:color="auto"/>
            </w:tcBorders>
            <w:shd w:val="clear" w:color="auto" w:fill="ED7D31"/>
            <w:noWrap/>
            <w:tcMar>
              <w:top w:w="0" w:type="dxa"/>
              <w:left w:w="108" w:type="dxa"/>
              <w:bottom w:w="0" w:type="dxa"/>
              <w:right w:w="108" w:type="dxa"/>
            </w:tcMar>
            <w:vAlign w:val="center"/>
            <w:hideMark/>
          </w:tcPr>
          <w:p w14:paraId="49FD734D"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Spikevax Bivalent Original BA.4-5</w:t>
            </w:r>
          </w:p>
        </w:tc>
        <w:tc>
          <w:tcPr>
            <w:tcW w:w="2257" w:type="dxa"/>
            <w:tcBorders>
              <w:top w:val="nil"/>
              <w:left w:val="nil"/>
              <w:bottom w:val="single" w:sz="8" w:space="0" w:color="auto"/>
              <w:right w:val="single" w:sz="8" w:space="0" w:color="auto"/>
            </w:tcBorders>
            <w:shd w:val="clear" w:color="auto" w:fill="ED7D31"/>
            <w:noWrap/>
            <w:tcMar>
              <w:top w:w="0" w:type="dxa"/>
              <w:left w:w="108" w:type="dxa"/>
              <w:bottom w:w="0" w:type="dxa"/>
              <w:right w:w="108" w:type="dxa"/>
            </w:tcMar>
            <w:vAlign w:val="center"/>
            <w:hideMark/>
          </w:tcPr>
          <w:p w14:paraId="1B3D3947"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 xml:space="preserve">GBUK </w:t>
            </w:r>
            <w:proofErr w:type="spellStart"/>
            <w:r>
              <w:rPr>
                <w:rFonts w:ascii="Arial" w:hAnsi="Arial" w:cs="Arial"/>
                <w:color w:val="000000"/>
                <w:sz w:val="24"/>
                <w:szCs w:val="24"/>
                <w:lang w:eastAsia="en-GB"/>
              </w:rPr>
              <w:t>Prosum</w:t>
            </w:r>
            <w:proofErr w:type="spellEnd"/>
            <w:r>
              <w:rPr>
                <w:rFonts w:ascii="Arial" w:hAnsi="Arial" w:cs="Arial"/>
                <w:color w:val="000000"/>
                <w:sz w:val="24"/>
                <w:szCs w:val="24"/>
                <w:lang w:eastAsia="en-GB"/>
              </w:rPr>
              <w:t xml:space="preserve"> 25G x 25mm 1ml CNS</w:t>
            </w:r>
          </w:p>
        </w:tc>
        <w:tc>
          <w:tcPr>
            <w:tcW w:w="2822" w:type="dxa"/>
            <w:tcBorders>
              <w:top w:val="nil"/>
              <w:left w:val="nil"/>
              <w:bottom w:val="single" w:sz="8" w:space="0" w:color="auto"/>
              <w:right w:val="single" w:sz="8" w:space="0" w:color="auto"/>
            </w:tcBorders>
            <w:shd w:val="clear" w:color="auto" w:fill="ED7D31"/>
            <w:noWrap/>
            <w:tcMar>
              <w:top w:w="0" w:type="dxa"/>
              <w:left w:w="108" w:type="dxa"/>
              <w:bottom w:w="0" w:type="dxa"/>
              <w:right w:w="108" w:type="dxa"/>
            </w:tcMar>
            <w:vAlign w:val="center"/>
            <w:hideMark/>
          </w:tcPr>
          <w:p w14:paraId="16CB0647"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 xml:space="preserve">GBUK </w:t>
            </w:r>
            <w:proofErr w:type="spellStart"/>
            <w:r>
              <w:rPr>
                <w:rFonts w:ascii="Arial" w:hAnsi="Arial" w:cs="Arial"/>
                <w:color w:val="000000"/>
                <w:sz w:val="24"/>
                <w:szCs w:val="24"/>
                <w:lang w:eastAsia="en-GB"/>
              </w:rPr>
              <w:t>Prosum</w:t>
            </w:r>
            <w:proofErr w:type="spellEnd"/>
            <w:r>
              <w:rPr>
                <w:rFonts w:ascii="Arial" w:hAnsi="Arial" w:cs="Arial"/>
                <w:color w:val="000000"/>
                <w:sz w:val="24"/>
                <w:szCs w:val="24"/>
                <w:lang w:eastAsia="en-GB"/>
              </w:rPr>
              <w:t xml:space="preserve"> 23g x 38mm, 1ml CNS</w:t>
            </w:r>
          </w:p>
        </w:tc>
        <w:tc>
          <w:tcPr>
            <w:tcW w:w="2370" w:type="dxa"/>
            <w:tcBorders>
              <w:top w:val="nil"/>
              <w:left w:val="nil"/>
              <w:bottom w:val="single" w:sz="8" w:space="0" w:color="auto"/>
              <w:right w:val="single" w:sz="8" w:space="0" w:color="auto"/>
            </w:tcBorders>
            <w:shd w:val="clear" w:color="auto" w:fill="ED7D31"/>
            <w:noWrap/>
            <w:tcMar>
              <w:top w:w="0" w:type="dxa"/>
              <w:left w:w="108" w:type="dxa"/>
              <w:bottom w:w="0" w:type="dxa"/>
              <w:right w:w="108" w:type="dxa"/>
            </w:tcMar>
            <w:vAlign w:val="center"/>
            <w:hideMark/>
          </w:tcPr>
          <w:p w14:paraId="05BC8F17"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N/A</w:t>
            </w:r>
          </w:p>
        </w:tc>
      </w:tr>
      <w:tr w:rsidR="003261B2" w14:paraId="1C012FF6" w14:textId="77777777" w:rsidTr="003261B2">
        <w:trPr>
          <w:trHeight w:val="845"/>
        </w:trPr>
        <w:tc>
          <w:tcPr>
            <w:tcW w:w="2818" w:type="dxa"/>
            <w:tcBorders>
              <w:top w:val="nil"/>
              <w:left w:val="single" w:sz="8" w:space="0" w:color="auto"/>
              <w:bottom w:val="single" w:sz="8" w:space="0" w:color="auto"/>
              <w:right w:val="single" w:sz="8" w:space="0" w:color="auto"/>
            </w:tcBorders>
            <w:shd w:val="clear" w:color="auto" w:fill="BDD7EE"/>
            <w:noWrap/>
            <w:tcMar>
              <w:top w:w="0" w:type="dxa"/>
              <w:left w:w="108" w:type="dxa"/>
              <w:bottom w:w="0" w:type="dxa"/>
              <w:right w:w="108" w:type="dxa"/>
            </w:tcMar>
            <w:vAlign w:val="center"/>
            <w:hideMark/>
          </w:tcPr>
          <w:p w14:paraId="3AC050BA"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Nuvaxovid (paused)</w:t>
            </w:r>
          </w:p>
        </w:tc>
        <w:tc>
          <w:tcPr>
            <w:tcW w:w="2257" w:type="dxa"/>
            <w:tcBorders>
              <w:top w:val="nil"/>
              <w:left w:val="nil"/>
              <w:bottom w:val="single" w:sz="8" w:space="0" w:color="auto"/>
              <w:right w:val="single" w:sz="8" w:space="0" w:color="auto"/>
            </w:tcBorders>
            <w:shd w:val="clear" w:color="auto" w:fill="BDD7EE"/>
            <w:noWrap/>
            <w:tcMar>
              <w:top w:w="0" w:type="dxa"/>
              <w:left w:w="108" w:type="dxa"/>
              <w:bottom w:w="0" w:type="dxa"/>
              <w:right w:w="108" w:type="dxa"/>
            </w:tcMar>
            <w:vAlign w:val="center"/>
            <w:hideMark/>
          </w:tcPr>
          <w:p w14:paraId="7EE5C882"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 xml:space="preserve">GBUK </w:t>
            </w:r>
            <w:proofErr w:type="spellStart"/>
            <w:r>
              <w:rPr>
                <w:rFonts w:ascii="Arial" w:hAnsi="Arial" w:cs="Arial"/>
                <w:color w:val="000000"/>
                <w:sz w:val="24"/>
                <w:szCs w:val="24"/>
                <w:lang w:eastAsia="en-GB"/>
              </w:rPr>
              <w:t>Prosum</w:t>
            </w:r>
            <w:proofErr w:type="spellEnd"/>
            <w:r>
              <w:rPr>
                <w:rFonts w:ascii="Arial" w:hAnsi="Arial" w:cs="Arial"/>
                <w:color w:val="000000"/>
                <w:sz w:val="24"/>
                <w:szCs w:val="24"/>
                <w:lang w:eastAsia="en-GB"/>
              </w:rPr>
              <w:t xml:space="preserve"> 25G x 25mm 1ml CNS</w:t>
            </w:r>
          </w:p>
        </w:tc>
        <w:tc>
          <w:tcPr>
            <w:tcW w:w="2822" w:type="dxa"/>
            <w:tcBorders>
              <w:top w:val="nil"/>
              <w:left w:val="nil"/>
              <w:bottom w:val="single" w:sz="8" w:space="0" w:color="auto"/>
              <w:right w:val="single" w:sz="8" w:space="0" w:color="auto"/>
            </w:tcBorders>
            <w:shd w:val="clear" w:color="auto" w:fill="BDD7EE"/>
            <w:noWrap/>
            <w:tcMar>
              <w:top w:w="0" w:type="dxa"/>
              <w:left w:w="108" w:type="dxa"/>
              <w:bottom w:w="0" w:type="dxa"/>
              <w:right w:w="108" w:type="dxa"/>
            </w:tcMar>
            <w:vAlign w:val="center"/>
            <w:hideMark/>
          </w:tcPr>
          <w:p w14:paraId="504A145E"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 xml:space="preserve">GBUK </w:t>
            </w:r>
            <w:proofErr w:type="spellStart"/>
            <w:r>
              <w:rPr>
                <w:rFonts w:ascii="Arial" w:hAnsi="Arial" w:cs="Arial"/>
                <w:color w:val="000000"/>
                <w:sz w:val="24"/>
                <w:szCs w:val="24"/>
                <w:lang w:eastAsia="en-GB"/>
              </w:rPr>
              <w:t>Prosum</w:t>
            </w:r>
            <w:proofErr w:type="spellEnd"/>
            <w:r>
              <w:rPr>
                <w:rFonts w:ascii="Arial" w:hAnsi="Arial" w:cs="Arial"/>
                <w:color w:val="000000"/>
                <w:sz w:val="24"/>
                <w:szCs w:val="24"/>
                <w:lang w:eastAsia="en-GB"/>
              </w:rPr>
              <w:t xml:space="preserve"> 23G x 38mm syringe</w:t>
            </w:r>
          </w:p>
        </w:tc>
        <w:tc>
          <w:tcPr>
            <w:tcW w:w="2370" w:type="dxa"/>
            <w:tcBorders>
              <w:top w:val="nil"/>
              <w:left w:val="nil"/>
              <w:bottom w:val="single" w:sz="8" w:space="0" w:color="auto"/>
              <w:right w:val="single" w:sz="8" w:space="0" w:color="auto"/>
            </w:tcBorders>
            <w:shd w:val="clear" w:color="auto" w:fill="BDD7EE"/>
            <w:noWrap/>
            <w:tcMar>
              <w:top w:w="0" w:type="dxa"/>
              <w:left w:w="108" w:type="dxa"/>
              <w:bottom w:w="0" w:type="dxa"/>
              <w:right w:w="108" w:type="dxa"/>
            </w:tcMar>
            <w:vAlign w:val="center"/>
            <w:hideMark/>
          </w:tcPr>
          <w:p w14:paraId="44FC3EC7"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N/A</w:t>
            </w:r>
          </w:p>
        </w:tc>
      </w:tr>
      <w:tr w:rsidR="003261B2" w14:paraId="2CCEC232" w14:textId="77777777" w:rsidTr="003261B2">
        <w:trPr>
          <w:trHeight w:val="845"/>
        </w:trPr>
        <w:tc>
          <w:tcPr>
            <w:tcW w:w="2818" w:type="dxa"/>
            <w:tcBorders>
              <w:top w:val="nil"/>
              <w:left w:val="single" w:sz="8" w:space="0" w:color="auto"/>
              <w:bottom w:val="single" w:sz="8" w:space="0" w:color="auto"/>
              <w:right w:val="single" w:sz="8" w:space="0" w:color="auto"/>
            </w:tcBorders>
            <w:shd w:val="clear" w:color="auto" w:fill="DEB9F3"/>
            <w:noWrap/>
            <w:tcMar>
              <w:top w:w="0" w:type="dxa"/>
              <w:left w:w="108" w:type="dxa"/>
              <w:bottom w:w="0" w:type="dxa"/>
              <w:right w:w="108" w:type="dxa"/>
            </w:tcMar>
            <w:vAlign w:val="center"/>
            <w:hideMark/>
          </w:tcPr>
          <w:p w14:paraId="7499B7C5" w14:textId="77777777" w:rsidR="003261B2" w:rsidRDefault="003261B2">
            <w:pPr>
              <w:rPr>
                <w:rFonts w:ascii="Arial" w:hAnsi="Arial" w:cs="Arial"/>
                <w:color w:val="000000"/>
                <w:sz w:val="24"/>
                <w:szCs w:val="24"/>
                <w:lang w:eastAsia="en-GB"/>
              </w:rPr>
            </w:pPr>
            <w:proofErr w:type="spellStart"/>
            <w:r>
              <w:rPr>
                <w:rFonts w:ascii="Arial" w:hAnsi="Arial" w:cs="Arial"/>
                <w:color w:val="000000"/>
                <w:sz w:val="24"/>
                <w:szCs w:val="24"/>
                <w:lang w:eastAsia="en-GB"/>
              </w:rPr>
              <w:t>VidPrevtyn</w:t>
            </w:r>
            <w:proofErr w:type="spellEnd"/>
            <w:r>
              <w:rPr>
                <w:rFonts w:ascii="Arial" w:hAnsi="Arial" w:cs="Arial"/>
                <w:color w:val="000000"/>
                <w:sz w:val="24"/>
                <w:szCs w:val="24"/>
                <w:lang w:eastAsia="en-GB"/>
              </w:rPr>
              <w:t xml:space="preserve"> Beta</w:t>
            </w:r>
          </w:p>
        </w:tc>
        <w:tc>
          <w:tcPr>
            <w:tcW w:w="2257" w:type="dxa"/>
            <w:tcBorders>
              <w:top w:val="nil"/>
              <w:left w:val="nil"/>
              <w:bottom w:val="single" w:sz="8" w:space="0" w:color="auto"/>
              <w:right w:val="single" w:sz="8" w:space="0" w:color="auto"/>
            </w:tcBorders>
            <w:shd w:val="clear" w:color="auto" w:fill="DEB9F3"/>
            <w:noWrap/>
            <w:tcMar>
              <w:top w:w="0" w:type="dxa"/>
              <w:left w:w="108" w:type="dxa"/>
              <w:bottom w:w="0" w:type="dxa"/>
              <w:right w:w="108" w:type="dxa"/>
            </w:tcMar>
            <w:vAlign w:val="center"/>
            <w:hideMark/>
          </w:tcPr>
          <w:p w14:paraId="482C04BD"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BD Flu+ 23g x 25mm, 1ml CNS</w:t>
            </w:r>
          </w:p>
        </w:tc>
        <w:tc>
          <w:tcPr>
            <w:tcW w:w="2822" w:type="dxa"/>
            <w:tcBorders>
              <w:top w:val="nil"/>
              <w:left w:val="nil"/>
              <w:bottom w:val="single" w:sz="8" w:space="0" w:color="auto"/>
              <w:right w:val="single" w:sz="8" w:space="0" w:color="auto"/>
            </w:tcBorders>
            <w:shd w:val="clear" w:color="auto" w:fill="DEB9F3"/>
            <w:noWrap/>
            <w:tcMar>
              <w:top w:w="0" w:type="dxa"/>
              <w:left w:w="108" w:type="dxa"/>
              <w:bottom w:w="0" w:type="dxa"/>
              <w:right w:w="108" w:type="dxa"/>
            </w:tcMar>
            <w:vAlign w:val="center"/>
            <w:hideMark/>
          </w:tcPr>
          <w:p w14:paraId="5BBEB062"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 xml:space="preserve">GBUK </w:t>
            </w:r>
            <w:proofErr w:type="spellStart"/>
            <w:r>
              <w:rPr>
                <w:rFonts w:ascii="Arial" w:hAnsi="Arial" w:cs="Arial"/>
                <w:color w:val="000000"/>
                <w:sz w:val="24"/>
                <w:szCs w:val="24"/>
                <w:lang w:eastAsia="en-GB"/>
              </w:rPr>
              <w:t>Prosum</w:t>
            </w:r>
            <w:proofErr w:type="spellEnd"/>
            <w:r>
              <w:rPr>
                <w:rFonts w:ascii="Arial" w:hAnsi="Arial" w:cs="Arial"/>
                <w:color w:val="000000"/>
                <w:sz w:val="24"/>
                <w:szCs w:val="24"/>
                <w:lang w:eastAsia="en-GB"/>
              </w:rPr>
              <w:t xml:space="preserve"> 23g x 38mm, 1ml CNS</w:t>
            </w:r>
          </w:p>
        </w:tc>
        <w:tc>
          <w:tcPr>
            <w:tcW w:w="2370" w:type="dxa"/>
            <w:tcBorders>
              <w:top w:val="nil"/>
              <w:left w:val="nil"/>
              <w:bottom w:val="single" w:sz="8" w:space="0" w:color="auto"/>
              <w:right w:val="single" w:sz="8" w:space="0" w:color="auto"/>
            </w:tcBorders>
            <w:shd w:val="clear" w:color="auto" w:fill="DEB9F3"/>
            <w:noWrap/>
            <w:tcMar>
              <w:top w:w="0" w:type="dxa"/>
              <w:left w:w="108" w:type="dxa"/>
              <w:bottom w:w="0" w:type="dxa"/>
              <w:right w:w="108" w:type="dxa"/>
            </w:tcMar>
            <w:vAlign w:val="center"/>
            <w:hideMark/>
          </w:tcPr>
          <w:p w14:paraId="3D8184C1" w14:textId="77777777" w:rsidR="003261B2" w:rsidRDefault="003261B2">
            <w:pPr>
              <w:rPr>
                <w:rFonts w:ascii="Arial" w:hAnsi="Arial" w:cs="Arial"/>
                <w:color w:val="000000"/>
                <w:sz w:val="24"/>
                <w:szCs w:val="24"/>
                <w:lang w:eastAsia="en-GB"/>
              </w:rPr>
            </w:pPr>
            <w:r>
              <w:rPr>
                <w:rFonts w:ascii="Arial" w:hAnsi="Arial" w:cs="Arial"/>
                <w:color w:val="000000"/>
                <w:sz w:val="24"/>
                <w:szCs w:val="24"/>
                <w:lang w:eastAsia="en-GB"/>
              </w:rPr>
              <w:t xml:space="preserve">GBUK </w:t>
            </w:r>
            <w:proofErr w:type="spellStart"/>
            <w:r>
              <w:rPr>
                <w:rFonts w:ascii="Arial" w:hAnsi="Arial" w:cs="Arial"/>
                <w:color w:val="000000"/>
                <w:sz w:val="24"/>
                <w:szCs w:val="24"/>
                <w:lang w:eastAsia="en-GB"/>
              </w:rPr>
              <w:t>Prosafe</w:t>
            </w:r>
            <w:proofErr w:type="spellEnd"/>
            <w:r>
              <w:rPr>
                <w:rFonts w:ascii="Arial" w:hAnsi="Arial" w:cs="Arial"/>
                <w:color w:val="000000"/>
                <w:sz w:val="24"/>
                <w:szCs w:val="24"/>
                <w:lang w:eastAsia="en-GB"/>
              </w:rPr>
              <w:t xml:space="preserve"> 21g x 38mm, 3ml safety CNS</w:t>
            </w:r>
          </w:p>
        </w:tc>
      </w:tr>
    </w:tbl>
    <w:p w14:paraId="12FCC917" w14:textId="77777777" w:rsidR="003261B2" w:rsidRDefault="003261B2" w:rsidP="003261B2">
      <w:pPr>
        <w:textAlignment w:val="baseline"/>
        <w:rPr>
          <w:rFonts w:ascii="Arial" w:hAnsi="Arial" w:cs="Arial"/>
          <w:color w:val="FF0000"/>
          <w:sz w:val="24"/>
          <w:szCs w:val="24"/>
          <w:lang w:eastAsia="en-GB"/>
        </w:rPr>
      </w:pPr>
    </w:p>
    <w:p w14:paraId="06BB316E" w14:textId="77777777" w:rsidR="003261B2" w:rsidRDefault="003261B2" w:rsidP="003261B2">
      <w:pPr>
        <w:rPr>
          <w:rFonts w:ascii="Arial" w:hAnsi="Arial" w:cs="Arial"/>
          <w:sz w:val="24"/>
          <w:szCs w:val="24"/>
          <w:lang w:eastAsia="en-GB"/>
        </w:rPr>
      </w:pPr>
      <w:r w:rsidRPr="003261B2">
        <w:rPr>
          <w:rFonts w:ascii="Arial" w:hAnsi="Arial" w:cs="Arial"/>
          <w:sz w:val="24"/>
          <w:szCs w:val="24"/>
          <w:lang w:eastAsia="en-GB"/>
        </w:rPr>
        <w:t>Kind regards</w:t>
      </w:r>
    </w:p>
    <w:p w14:paraId="5663F3AB" w14:textId="77777777" w:rsidR="003261B2" w:rsidRDefault="003261B2" w:rsidP="003261B2">
      <w:pPr>
        <w:rPr>
          <w:rFonts w:ascii="Arial" w:hAnsi="Arial" w:cs="Arial"/>
        </w:rPr>
      </w:pPr>
    </w:p>
    <w:p w14:paraId="5387D57D" w14:textId="77777777" w:rsidR="003261B2" w:rsidRDefault="003261B2" w:rsidP="003261B2">
      <w:pPr>
        <w:rPr>
          <w:rFonts w:ascii="Arial" w:hAnsi="Arial" w:cs="Arial"/>
          <w:b/>
          <w:bCs/>
          <w:color w:val="1F497D"/>
          <w:lang w:eastAsia="en-GB"/>
        </w:rPr>
      </w:pPr>
      <w:r>
        <w:rPr>
          <w:rFonts w:ascii="Arial" w:hAnsi="Arial" w:cs="Arial"/>
          <w:b/>
          <w:bCs/>
          <w:color w:val="1F497D"/>
          <w:lang w:eastAsia="en-GB"/>
        </w:rPr>
        <w:t>Mathew Ward</w:t>
      </w:r>
    </w:p>
    <w:p w14:paraId="1D160B9B" w14:textId="77777777" w:rsidR="003261B2" w:rsidRDefault="003261B2" w:rsidP="003261B2">
      <w:pPr>
        <w:rPr>
          <w:rFonts w:ascii="Arial" w:hAnsi="Arial" w:cs="Arial"/>
          <w:b/>
          <w:bCs/>
          <w:color w:val="1F497D"/>
          <w:lang w:eastAsia="en-GB"/>
        </w:rPr>
      </w:pPr>
      <w:r>
        <w:rPr>
          <w:rFonts w:ascii="Arial" w:hAnsi="Arial" w:cs="Arial"/>
          <w:b/>
          <w:bCs/>
          <w:color w:val="1F497D"/>
          <w:lang w:eastAsia="en-GB"/>
        </w:rPr>
        <w:t>SOC Coordinator</w:t>
      </w:r>
    </w:p>
    <w:p w14:paraId="2ADE938B" w14:textId="77777777" w:rsidR="00C765E5" w:rsidRDefault="00C765E5"/>
    <w:sectPr w:rsidR="00C765E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286FC1"/>
    <w:multiLevelType w:val="hybridMultilevel"/>
    <w:tmpl w:val="56880D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632C5160"/>
    <w:multiLevelType w:val="hybridMultilevel"/>
    <w:tmpl w:val="493287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951930738">
    <w:abstractNumId w:val="0"/>
    <w:lvlOverride w:ilvl="0"/>
    <w:lvlOverride w:ilvl="1"/>
    <w:lvlOverride w:ilvl="2"/>
    <w:lvlOverride w:ilvl="3"/>
    <w:lvlOverride w:ilvl="4"/>
    <w:lvlOverride w:ilvl="5"/>
    <w:lvlOverride w:ilvl="6"/>
    <w:lvlOverride w:ilvl="7"/>
    <w:lvlOverride w:ilvl="8"/>
  </w:num>
  <w:num w:numId="2" w16cid:durableId="1355574788">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61B2"/>
    <w:rsid w:val="003261B2"/>
    <w:rsid w:val="00C765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023AF6"/>
  <w15:chartTrackingRefBased/>
  <w15:docId w15:val="{6457A874-C19C-4183-9057-54BB67E22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61B2"/>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sid w:val="003261B2"/>
    <w:pPr>
      <w:spacing w:after="160"/>
    </w:pPr>
    <w:rPr>
      <w:rFonts w:ascii="Arial" w:hAnsi="Arial" w:cs="Arial"/>
      <w:sz w:val="20"/>
      <w:szCs w:val="20"/>
    </w:rPr>
  </w:style>
  <w:style w:type="character" w:customStyle="1" w:styleId="CommentTextChar">
    <w:name w:val="Comment Text Char"/>
    <w:basedOn w:val="DefaultParagraphFont"/>
    <w:link w:val="CommentText"/>
    <w:uiPriority w:val="99"/>
    <w:semiHidden/>
    <w:rsid w:val="003261B2"/>
    <w:rPr>
      <w:rFonts w:ascii="Arial" w:hAnsi="Arial" w:cs="Arial"/>
      <w:sz w:val="20"/>
      <w:szCs w:val="20"/>
    </w:rPr>
  </w:style>
  <w:style w:type="paragraph" w:styleId="ListParagraph">
    <w:name w:val="List Paragraph"/>
    <w:basedOn w:val="Normal"/>
    <w:uiPriority w:val="34"/>
    <w:qFormat/>
    <w:rsid w:val="003261B2"/>
    <w:pPr>
      <w:ind w:left="720"/>
    </w:pPr>
  </w:style>
  <w:style w:type="character" w:customStyle="1" w:styleId="normaltextrun">
    <w:name w:val="normaltextrun"/>
    <w:basedOn w:val="DefaultParagraphFont"/>
    <w:rsid w:val="003261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4231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750</Words>
  <Characters>4279</Characters>
  <Application>Microsoft Office Word</Application>
  <DocSecurity>0</DocSecurity>
  <Lines>35</Lines>
  <Paragraphs>10</Paragraphs>
  <ScaleCrop>false</ScaleCrop>
  <Company/>
  <LinksUpToDate>false</LinksUpToDate>
  <CharactersWithSpaces>5019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2023-07-26T13:25:00Z</dcterms:created>
  <dcterms:modified xsi:type="dcterms:W3CDTF">2023-07-26T13:26:00Z</dcterms:modified>
</cp:coreProperties>
</file>